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FF0000"/>
          <w:spacing w:val="-6"/>
          <w:w w:val="36"/>
          <w:sz w:val="130"/>
          <w:szCs w:val="130"/>
        </w:rPr>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color w:val="FF0000"/>
          <w:spacing w:val="-6"/>
          <w:w w:val="36"/>
          <w:sz w:val="130"/>
          <w:szCs w:val="130"/>
        </w:rPr>
      </w:pPr>
    </w:p>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方正小标宋简体" w:hAnsi="方正小标宋简体" w:eastAsia="方正小标宋简体" w:cs="方正小标宋简体"/>
          <w:bCs/>
          <w:color w:val="FF0000"/>
          <w:w w:val="38"/>
          <w:sz w:val="130"/>
          <w:szCs w:val="130"/>
          <w:lang w:eastAsia="zh-CN"/>
        </w:rPr>
      </w:pPr>
      <w:r>
        <w:rPr>
          <w:rFonts w:hint="eastAsia" w:ascii="方正小标宋简体" w:hAnsi="方正小标宋简体" w:eastAsia="方正小标宋简体" w:cs="方正小标宋简体"/>
          <w:bCs/>
          <w:color w:val="FF0000"/>
          <w:spacing w:val="-6"/>
          <w:w w:val="36"/>
          <w:sz w:val="130"/>
          <w:szCs w:val="130"/>
        </w:rPr>
        <w:t>山东省人民政府安全生产委员会办公室</w:t>
      </w:r>
      <w:r>
        <w:rPr>
          <w:rFonts w:hint="eastAsia" w:ascii="方正小标宋简体" w:hAnsi="方正小标宋简体" w:eastAsia="方正小标宋简体" w:cs="方正小标宋简体"/>
          <w:bCs/>
          <w:color w:val="FF0000"/>
          <w:spacing w:val="-6"/>
          <w:w w:val="36"/>
          <w:sz w:val="130"/>
          <w:szCs w:val="130"/>
          <w:lang w:eastAsia="zh-CN"/>
        </w:rPr>
        <w:t>文件</w:t>
      </w:r>
    </w:p>
    <w:p>
      <w:pPr>
        <w:keepNext w:val="0"/>
        <w:keepLines w:val="0"/>
        <w:pageBreakBefore w:val="0"/>
        <w:widowControl w:val="0"/>
        <w:kinsoku/>
        <w:wordWrap/>
        <w:overflowPunct w:val="0"/>
        <w:topLinePunct w:val="0"/>
        <w:autoSpaceDE/>
        <w:autoSpaceDN/>
        <w:bidi w:val="0"/>
        <w:adjustRightInd/>
        <w:snapToGrid/>
        <w:ind w:left="0" w:leftChars="0" w:right="0" w:rightChars="0" w:firstLine="0" w:firstLineChars="0"/>
        <w:jc w:val="center"/>
        <w:textAlignment w:val="auto"/>
        <w:rPr>
          <w:rFonts w:hint="default" w:ascii="仿宋_GB2312" w:hAnsi="华文中宋" w:eastAsia="仿宋_GB2312" w:cs="Times New Roman"/>
          <w:sz w:val="32"/>
          <w:szCs w:val="32"/>
          <w:lang w:val="en-US" w:eastAsia="zh-CN"/>
        </w:rPr>
      </w:pPr>
      <w:r>
        <w:rPr>
          <w:rFonts w:hint="eastAsia" w:ascii="仿宋_GB2312" w:hAnsi="仿宋_GB2312" w:eastAsia="仿宋_GB2312" w:cs="仿宋_GB2312"/>
          <w:sz w:val="32"/>
          <w:szCs w:val="32"/>
        </w:rPr>
        <w:t>鲁安办发〔</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keepNext w:val="0"/>
        <w:keepLines w:val="0"/>
        <w:pageBreakBefore w:val="0"/>
        <w:widowControl w:val="0"/>
        <w:kinsoku/>
        <w:wordWrap/>
        <w:overflowPunct w:val="0"/>
        <w:topLinePunct w:val="0"/>
        <w:bidi w:val="0"/>
        <w:jc w:val="center"/>
        <w:rPr>
          <w:rStyle w:val="16"/>
          <w:rFonts w:ascii="宋体" w:hAnsi="宋体" w:eastAsia="宋体" w:cs="宋体"/>
          <w:color w:val="333333"/>
          <w:sz w:val="36"/>
          <w:szCs w:val="36"/>
          <w:shd w:val="clear" w:color="auto" w:fill="FFFFFF"/>
        </w:rPr>
      </w:pPr>
      <w:r>
        <w:rPr>
          <w:rFonts w:hint="eastAsia" w:ascii="仿宋_GB2312" w:hAnsi="华文中宋"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73660</wp:posOffset>
                </wp:positionV>
                <wp:extent cx="5615940" cy="0"/>
                <wp:effectExtent l="0" t="10795" r="3810" b="177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1.2pt;margin-top:5.8pt;height:0pt;width:442.2pt;z-index:251661312;mso-width-relative:page;mso-height-relative:page;" filled="f" stroked="t" coordsize="21600,21600" o:gfxdata="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uvaQLV&#10;AAAACAEAAA8AAAAAAAAAAQAgAAAAIgAAAGRycy9kb3ducmV2LnhtbFBLAQIUABQAAAAIAIdO4kDp&#10;RAEr6gEAALkDAAAOAAAAAAAAAAEAIAAAACQBAABkcnMvZTJvRG9jLnhtbFBLBQYAAAAABgAGAFkB&#10;AACA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line="578"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山东省人民政府安全生产委员会办公室关于推动建立“两个清单”的通知</w:t>
      </w:r>
    </w:p>
    <w:p>
      <w:pPr>
        <w:pStyle w:val="11"/>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cs="Times New Roman"/>
          <w:kern w:val="0"/>
          <w:lang w:val="en-US" w:eastAsia="zh-CN"/>
        </w:rPr>
      </w:pPr>
    </w:p>
    <w:p>
      <w:pPr>
        <w:keepNext w:val="0"/>
        <w:keepLines w:val="0"/>
        <w:pageBreakBefore w:val="0"/>
        <w:widowControl w:val="0"/>
        <w:kinsoku/>
        <w:wordWrap/>
        <w:overflowPunct w:val="0"/>
        <w:topLinePunct w:val="0"/>
        <w:autoSpaceDE/>
        <w:autoSpaceDN/>
        <w:bidi w:val="0"/>
        <w:adjustRightInd/>
        <w:snapToGrid/>
        <w:spacing w:line="578" w:lineRule="exact"/>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仿宋_GB2312" w:hAnsi="仿宋_GB2312" w:eastAsia="仿宋_GB2312" w:cs="Times New Roman"/>
          <w:color w:val="auto"/>
          <w:spacing w:val="0"/>
          <w:kern w:val="0"/>
          <w:sz w:val="32"/>
          <w:szCs w:val="32"/>
          <w:lang w:val="en-US" w:eastAsia="zh-CN"/>
        </w:rPr>
        <w:t>各市人民政府安委会，省政府安委会各成员单位，有关中央驻鲁和省管企业：</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仿宋_GB2312" w:hAnsi="仿宋_GB2312" w:eastAsia="仿宋_GB2312" w:cs="Times New Roman"/>
          <w:color w:val="auto"/>
          <w:spacing w:val="0"/>
          <w:kern w:val="0"/>
          <w:sz w:val="32"/>
          <w:szCs w:val="32"/>
          <w:lang w:eastAsia="zh-CN"/>
        </w:rPr>
        <w:t>为贯彻落实《山东省安全生产治本攻坚三年行动实施方案（2024—2026年）》《</w:t>
      </w:r>
      <w:r>
        <w:rPr>
          <w:rFonts w:hint="default" w:ascii="仿宋_GB2312" w:hAnsi="仿宋_GB2312" w:eastAsia="仿宋_GB2312" w:cs="Times New Roman"/>
          <w:color w:val="auto"/>
          <w:spacing w:val="0"/>
          <w:kern w:val="0"/>
          <w:sz w:val="32"/>
          <w:szCs w:val="32"/>
          <w:lang w:val="en-US" w:eastAsia="zh-CN"/>
        </w:rPr>
        <w:t>山东省人民政府安全生产委员会办公室关于深入学习宣传和贯彻实施重大事故隐患判定标准的通知</w:t>
      </w:r>
      <w:r>
        <w:rPr>
          <w:rFonts w:hint="default" w:ascii="仿宋_GB2312" w:hAnsi="仿宋_GB2312" w:eastAsia="仿宋_GB2312" w:cs="Times New Roman"/>
          <w:color w:val="auto"/>
          <w:spacing w:val="0"/>
          <w:kern w:val="0"/>
          <w:sz w:val="32"/>
          <w:szCs w:val="32"/>
          <w:lang w:eastAsia="zh-CN"/>
        </w:rPr>
        <w:t>》</w:t>
      </w:r>
      <w:r>
        <w:rPr>
          <w:rFonts w:hint="default" w:ascii="仿宋_GB2312" w:hAnsi="仿宋_GB2312" w:eastAsia="仿宋_GB2312" w:cs="Times New Roman"/>
          <w:color w:val="auto"/>
          <w:spacing w:val="0"/>
          <w:kern w:val="0"/>
          <w:sz w:val="32"/>
          <w:szCs w:val="32"/>
          <w:lang w:val="en-US" w:eastAsia="zh-CN"/>
        </w:rPr>
        <w:t>要求，深入开展重大事故隐患判定标准落地行动，现就推动建立《部门重大事故隐患执法检查重点事项清单》《企业重大事故隐患重点排查事项清单》（以下简称“两个清单”）有关事项通知如下：</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黑体" w:hAnsi="黑体" w:eastAsia="黑体" w:cs="Times New Roman"/>
          <w:color w:val="auto"/>
          <w:spacing w:val="0"/>
          <w:kern w:val="0"/>
          <w:sz w:val="32"/>
          <w:szCs w:val="32"/>
          <w:lang w:val="en-US" w:eastAsia="zh-CN"/>
        </w:rPr>
      </w:pPr>
      <w:r>
        <w:rPr>
          <w:rFonts w:hint="default" w:ascii="黑体" w:hAnsi="黑体" w:eastAsia="黑体" w:cs="Times New Roman"/>
          <w:color w:val="auto"/>
          <w:spacing w:val="0"/>
          <w:kern w:val="0"/>
          <w:sz w:val="32"/>
          <w:szCs w:val="32"/>
        </w:rPr>
        <w:t>一、</w:t>
      </w:r>
      <w:r>
        <w:rPr>
          <w:rFonts w:hint="default" w:ascii="黑体" w:hAnsi="黑体" w:eastAsia="黑体" w:cs="Times New Roman"/>
          <w:color w:val="auto"/>
          <w:spacing w:val="0"/>
          <w:kern w:val="0"/>
          <w:sz w:val="32"/>
          <w:szCs w:val="32"/>
          <w:lang w:val="en-US" w:eastAsia="zh-CN"/>
        </w:rPr>
        <w:t>充分认识建立“两个清单”的重要意义</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仿宋_GB2312" w:hAnsi="仿宋_GB2312" w:eastAsia="仿宋_GB2312" w:cs="Times New Roman"/>
          <w:color w:val="auto"/>
          <w:spacing w:val="0"/>
          <w:kern w:val="0"/>
          <w:sz w:val="32"/>
          <w:szCs w:val="32"/>
          <w:lang w:val="en-US" w:eastAsia="zh-CN"/>
        </w:rPr>
        <w:t>推动建立</w:t>
      </w:r>
      <w:r>
        <w:rPr>
          <w:rFonts w:hint="default" w:ascii="仿宋_GB2312" w:hAnsi="仿宋_GB2312" w:eastAsia="仿宋_GB2312" w:cs="Times New Roman"/>
          <w:color w:val="auto"/>
          <w:spacing w:val="0"/>
          <w:kern w:val="0"/>
          <w:sz w:val="32"/>
          <w:szCs w:val="32"/>
          <w:lang w:eastAsia="zh-CN"/>
        </w:rPr>
        <w:t>“两个清单”，是贯彻落实习近平总书记</w:t>
      </w:r>
      <w:r>
        <w:rPr>
          <w:rFonts w:hint="default" w:ascii="仿宋_GB2312" w:hAnsi="仿宋_GB2312" w:eastAsia="仿宋_GB2312" w:cs="Times New Roman"/>
          <w:color w:val="auto"/>
          <w:spacing w:val="0"/>
          <w:kern w:val="0"/>
          <w:sz w:val="32"/>
          <w:szCs w:val="32"/>
          <w:lang w:val="en-US" w:eastAsia="zh-CN"/>
        </w:rPr>
        <w:t>关于应急管理重要论述精神</w:t>
      </w:r>
      <w:r>
        <w:rPr>
          <w:rFonts w:hint="default" w:ascii="仿宋_GB2312" w:hAnsi="仿宋_GB2312" w:eastAsia="仿宋_GB2312" w:cs="Times New Roman"/>
          <w:color w:val="auto"/>
          <w:spacing w:val="0"/>
          <w:kern w:val="0"/>
          <w:sz w:val="32"/>
          <w:szCs w:val="32"/>
          <w:lang w:eastAsia="zh-CN"/>
        </w:rPr>
        <w:t>的具体实践，是贯彻落实安全生产法律法规的重要举措，是推动落实企业</w:t>
      </w:r>
      <w:r>
        <w:rPr>
          <w:rFonts w:hint="default" w:ascii="仿宋_GB2312" w:hAnsi="仿宋_GB2312" w:eastAsia="仿宋_GB2312" w:cs="Times New Roman"/>
          <w:color w:val="auto"/>
          <w:spacing w:val="0"/>
          <w:kern w:val="0"/>
          <w:sz w:val="32"/>
          <w:szCs w:val="32"/>
          <w:lang w:val="en-US" w:eastAsia="zh-CN"/>
        </w:rPr>
        <w:t>安全生产</w:t>
      </w:r>
      <w:r>
        <w:rPr>
          <w:rFonts w:hint="default" w:ascii="仿宋_GB2312" w:hAnsi="仿宋_GB2312" w:eastAsia="仿宋_GB2312" w:cs="Times New Roman"/>
          <w:color w:val="auto"/>
          <w:spacing w:val="0"/>
          <w:kern w:val="0"/>
          <w:sz w:val="32"/>
          <w:szCs w:val="32"/>
          <w:lang w:eastAsia="zh-CN"/>
        </w:rPr>
        <w:t>主体责任的现实需要，是深入开展</w:t>
      </w:r>
      <w:r>
        <w:rPr>
          <w:rFonts w:hint="default" w:ascii="仿宋_GB2312" w:hAnsi="仿宋_GB2312" w:eastAsia="仿宋_GB2312" w:cs="Times New Roman"/>
          <w:color w:val="auto"/>
          <w:spacing w:val="0"/>
          <w:kern w:val="0"/>
          <w:sz w:val="32"/>
          <w:szCs w:val="32"/>
          <w:lang w:val="en-US" w:eastAsia="zh-CN"/>
        </w:rPr>
        <w:t>我省</w:t>
      </w:r>
      <w:r>
        <w:rPr>
          <w:rFonts w:hint="default" w:ascii="仿宋_GB2312" w:hAnsi="仿宋_GB2312" w:eastAsia="仿宋_GB2312" w:cs="Times New Roman"/>
          <w:color w:val="auto"/>
          <w:spacing w:val="0"/>
          <w:kern w:val="0"/>
          <w:sz w:val="32"/>
          <w:szCs w:val="32"/>
          <w:lang w:eastAsia="zh-CN"/>
        </w:rPr>
        <w:t>安全生产治本攻坚三年行动推进</w:t>
      </w:r>
      <w:r>
        <w:rPr>
          <w:rFonts w:hint="default" w:ascii="仿宋_GB2312" w:hAnsi="仿宋_GB2312" w:eastAsia="仿宋_GB2312" w:cs="Times New Roman"/>
          <w:color w:val="auto"/>
          <w:spacing w:val="0"/>
          <w:kern w:val="0"/>
          <w:sz w:val="32"/>
          <w:szCs w:val="32"/>
          <w:lang w:val="en-US" w:eastAsia="zh-CN"/>
        </w:rPr>
        <w:t>重大事故隐患判定标准落地行动</w:t>
      </w:r>
      <w:r>
        <w:rPr>
          <w:rFonts w:hint="default" w:ascii="仿宋_GB2312" w:hAnsi="仿宋_GB2312" w:eastAsia="仿宋_GB2312" w:cs="Times New Roman"/>
          <w:color w:val="auto"/>
          <w:spacing w:val="0"/>
          <w:kern w:val="0"/>
          <w:sz w:val="32"/>
          <w:szCs w:val="32"/>
          <w:lang w:eastAsia="zh-CN"/>
        </w:rPr>
        <w:t>的重要制度</w:t>
      </w:r>
      <w:r>
        <w:rPr>
          <w:rFonts w:hint="default" w:ascii="仿宋_GB2312" w:hAnsi="仿宋_GB2312" w:eastAsia="仿宋_GB2312" w:cs="Times New Roman"/>
          <w:color w:val="auto"/>
          <w:spacing w:val="0"/>
          <w:kern w:val="0"/>
          <w:sz w:val="32"/>
          <w:szCs w:val="32"/>
          <w:lang w:val="en-US" w:eastAsia="zh-CN"/>
        </w:rPr>
        <w:t>措施</w:t>
      </w:r>
      <w:r>
        <w:rPr>
          <w:rFonts w:hint="default" w:ascii="仿宋_GB2312" w:hAnsi="仿宋_GB2312" w:eastAsia="仿宋_GB2312" w:cs="Times New Roman"/>
          <w:color w:val="auto"/>
          <w:spacing w:val="0"/>
          <w:kern w:val="0"/>
          <w:sz w:val="32"/>
          <w:szCs w:val="32"/>
          <w:lang w:eastAsia="zh-CN"/>
        </w:rPr>
        <w:t>。</w:t>
      </w:r>
      <w:r>
        <w:rPr>
          <w:rFonts w:hint="default" w:ascii="仿宋_GB2312" w:hAnsi="仿宋_GB2312" w:eastAsia="仿宋_GB2312" w:cs="Times New Roman"/>
          <w:color w:val="auto"/>
          <w:spacing w:val="0"/>
          <w:kern w:val="0"/>
          <w:sz w:val="32"/>
          <w:szCs w:val="32"/>
          <w:lang w:val="en-US" w:eastAsia="zh-CN"/>
        </w:rPr>
        <w:t>推动建立</w:t>
      </w:r>
      <w:r>
        <w:rPr>
          <w:rFonts w:hint="default" w:ascii="仿宋_GB2312" w:hAnsi="仿宋_GB2312" w:eastAsia="仿宋_GB2312" w:cs="Times New Roman"/>
          <w:color w:val="auto"/>
          <w:spacing w:val="0"/>
          <w:kern w:val="0"/>
          <w:sz w:val="32"/>
          <w:szCs w:val="32"/>
          <w:lang w:eastAsia="zh-CN"/>
        </w:rPr>
        <w:t>“两个清单”，</w:t>
      </w:r>
      <w:r>
        <w:rPr>
          <w:rFonts w:hint="default" w:ascii="仿宋_GB2312" w:hAnsi="仿宋_GB2312" w:eastAsia="仿宋_GB2312" w:cs="Times New Roman"/>
          <w:color w:val="auto"/>
          <w:spacing w:val="0"/>
          <w:kern w:val="0"/>
          <w:sz w:val="32"/>
          <w:szCs w:val="32"/>
          <w:lang w:val="en-US" w:eastAsia="zh-CN"/>
        </w:rPr>
        <w:t>能够</w:t>
      </w:r>
      <w:r>
        <w:rPr>
          <w:rFonts w:hint="default" w:ascii="仿宋_GB2312" w:hAnsi="仿宋_GB2312" w:eastAsia="仿宋_GB2312" w:cs="Times New Roman"/>
          <w:color w:val="auto"/>
          <w:spacing w:val="0"/>
          <w:kern w:val="0"/>
          <w:sz w:val="32"/>
          <w:szCs w:val="32"/>
          <w:lang w:eastAsia="zh-CN"/>
        </w:rPr>
        <w:t>为</w:t>
      </w:r>
      <w:r>
        <w:rPr>
          <w:rFonts w:hint="default" w:ascii="仿宋_GB2312" w:hAnsi="仿宋_GB2312" w:eastAsia="仿宋_GB2312" w:cs="Times New Roman"/>
          <w:color w:val="auto"/>
          <w:spacing w:val="0"/>
          <w:kern w:val="0"/>
          <w:sz w:val="32"/>
          <w:szCs w:val="32"/>
          <w:lang w:val="en-US" w:eastAsia="zh-CN"/>
        </w:rPr>
        <w:t>各级有关部门实施精准执法、企业开展重大事故隐患排查治理</w:t>
      </w:r>
      <w:r>
        <w:rPr>
          <w:rFonts w:hint="default" w:ascii="仿宋_GB2312" w:hAnsi="仿宋_GB2312" w:eastAsia="仿宋_GB2312" w:cs="Times New Roman"/>
          <w:color w:val="auto"/>
          <w:spacing w:val="0"/>
          <w:kern w:val="0"/>
          <w:sz w:val="32"/>
          <w:szCs w:val="32"/>
          <w:lang w:eastAsia="zh-CN"/>
        </w:rPr>
        <w:t>提供照单明责、照单履责的操作指南，对推动安全生产主体责任落实具有重要的规范性、指引性作用。</w:t>
      </w:r>
      <w:r>
        <w:rPr>
          <w:rFonts w:hint="default" w:ascii="仿宋_GB2312" w:hAnsi="仿宋_GB2312" w:eastAsia="仿宋_GB2312" w:cs="Times New Roman"/>
          <w:color w:val="auto"/>
          <w:spacing w:val="0"/>
          <w:kern w:val="0"/>
          <w:sz w:val="32"/>
          <w:szCs w:val="32"/>
          <w:lang w:val="en-US" w:eastAsia="zh-CN"/>
        </w:rPr>
        <w:t>各级各部门各单位</w:t>
      </w:r>
      <w:r>
        <w:rPr>
          <w:rFonts w:hint="default" w:ascii="仿宋_GB2312" w:hAnsi="仿宋_GB2312" w:eastAsia="仿宋_GB2312" w:cs="Times New Roman"/>
          <w:color w:val="auto"/>
          <w:spacing w:val="0"/>
          <w:kern w:val="0"/>
          <w:sz w:val="32"/>
          <w:szCs w:val="32"/>
          <w:lang w:eastAsia="zh-CN"/>
        </w:rPr>
        <w:t>要充分认识</w:t>
      </w:r>
      <w:r>
        <w:rPr>
          <w:rFonts w:hint="default" w:ascii="仿宋_GB2312" w:hAnsi="仿宋_GB2312" w:eastAsia="仿宋_GB2312" w:cs="Times New Roman"/>
          <w:color w:val="auto"/>
          <w:spacing w:val="0"/>
          <w:kern w:val="0"/>
          <w:sz w:val="32"/>
          <w:szCs w:val="32"/>
          <w:lang w:val="en-US" w:eastAsia="zh-CN"/>
        </w:rPr>
        <w:t>建立</w:t>
      </w:r>
      <w:r>
        <w:rPr>
          <w:rFonts w:hint="default" w:ascii="仿宋_GB2312" w:hAnsi="仿宋_GB2312" w:eastAsia="仿宋_GB2312" w:cs="Times New Roman"/>
          <w:color w:val="auto"/>
          <w:spacing w:val="0"/>
          <w:kern w:val="0"/>
          <w:sz w:val="32"/>
          <w:szCs w:val="32"/>
          <w:lang w:eastAsia="zh-CN"/>
        </w:rPr>
        <w:t>“两个清单”的重要意义，把</w:t>
      </w:r>
      <w:r>
        <w:rPr>
          <w:rFonts w:hint="default" w:ascii="仿宋_GB2312" w:hAnsi="仿宋_GB2312" w:eastAsia="仿宋_GB2312" w:cs="Times New Roman"/>
          <w:color w:val="auto"/>
          <w:spacing w:val="0"/>
          <w:kern w:val="0"/>
          <w:sz w:val="32"/>
          <w:szCs w:val="32"/>
          <w:lang w:val="en-US" w:eastAsia="zh-CN"/>
        </w:rPr>
        <w:t>建立</w:t>
      </w:r>
      <w:r>
        <w:rPr>
          <w:rFonts w:hint="default" w:ascii="仿宋_GB2312" w:hAnsi="仿宋_GB2312" w:eastAsia="仿宋_GB2312" w:cs="Times New Roman"/>
          <w:color w:val="auto"/>
          <w:spacing w:val="0"/>
          <w:kern w:val="0"/>
          <w:sz w:val="32"/>
          <w:szCs w:val="32"/>
          <w:lang w:eastAsia="zh-CN"/>
        </w:rPr>
        <w:t>“两个清单”作为</w:t>
      </w:r>
      <w:r>
        <w:rPr>
          <w:rFonts w:hint="default" w:ascii="仿宋_GB2312" w:hAnsi="仿宋_GB2312" w:eastAsia="仿宋_GB2312" w:cs="Times New Roman"/>
          <w:color w:val="auto"/>
          <w:spacing w:val="0"/>
          <w:kern w:val="0"/>
          <w:sz w:val="32"/>
          <w:szCs w:val="32"/>
          <w:lang w:val="en-US" w:eastAsia="zh-CN"/>
        </w:rPr>
        <w:t>开展安全生产治本攻坚三年行动</w:t>
      </w:r>
      <w:r>
        <w:rPr>
          <w:rFonts w:hint="default" w:ascii="仿宋_GB2312" w:hAnsi="仿宋_GB2312" w:eastAsia="仿宋_GB2312" w:cs="Times New Roman"/>
          <w:color w:val="auto"/>
          <w:spacing w:val="0"/>
          <w:kern w:val="0"/>
          <w:sz w:val="32"/>
          <w:szCs w:val="32"/>
          <w:lang w:eastAsia="zh-CN"/>
        </w:rPr>
        <w:t>的重要任务，</w:t>
      </w:r>
      <w:r>
        <w:rPr>
          <w:rFonts w:hint="default" w:ascii="仿宋_GB2312" w:hAnsi="仿宋_GB2312" w:eastAsia="仿宋_GB2312" w:cs="Times New Roman"/>
          <w:color w:val="auto"/>
          <w:spacing w:val="0"/>
          <w:kern w:val="0"/>
          <w:sz w:val="32"/>
          <w:szCs w:val="32"/>
          <w:lang w:val="en-US" w:eastAsia="zh-CN"/>
        </w:rPr>
        <w:t>突出把握清单的核心内容，明确细化排查措施，切实推进重大事故隐患系统治理、精准治理，不断提升重大事故隐患排查整改质量，有效防范遏制各类生产安全事故发生。</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黑体" w:hAnsi="黑体" w:eastAsia="黑体" w:cs="Times New Roman"/>
          <w:color w:val="auto"/>
          <w:spacing w:val="0"/>
          <w:kern w:val="0"/>
          <w:sz w:val="32"/>
          <w:szCs w:val="32"/>
          <w:lang w:val="en-US" w:eastAsia="zh-CN"/>
        </w:rPr>
      </w:pPr>
      <w:r>
        <w:rPr>
          <w:rFonts w:hint="default" w:ascii="黑体" w:hAnsi="黑体" w:eastAsia="黑体" w:cs="Times New Roman"/>
          <w:color w:val="auto"/>
          <w:spacing w:val="0"/>
          <w:kern w:val="0"/>
          <w:sz w:val="32"/>
          <w:szCs w:val="32"/>
          <w:lang w:val="en-US" w:eastAsia="zh-CN"/>
        </w:rPr>
        <w:t>二、全面推动建立落实“两个清单”制度</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（一）准确把握清单范围。</w:t>
      </w:r>
      <w:r>
        <w:rPr>
          <w:rFonts w:hint="default" w:ascii="仿宋_GB2312" w:hAnsi="仿宋_GB2312" w:eastAsia="仿宋_GB2312" w:cs="Times New Roman"/>
          <w:color w:val="auto"/>
          <w:spacing w:val="0"/>
          <w:kern w:val="0"/>
          <w:sz w:val="32"/>
          <w:szCs w:val="32"/>
          <w:lang w:val="en-US" w:eastAsia="zh-CN"/>
        </w:rPr>
        <w:t>国务院负有安全生产监督管理职责的部门制定的重大事故隐患判定标准是建立“两个清单”的根本依据。对标准涉及的所有重大事故隐患事项，省有关部门、单位要全部细化建立执法检查重点事项清单，相关行业企业要逐一细化建立重点排查事项清单，推动判定标准实现清单化管理。</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（二）对标梳理清单事项。</w:t>
      </w:r>
      <w:r>
        <w:rPr>
          <w:rFonts w:hint="default" w:ascii="仿宋_GB2312" w:hAnsi="仿宋_GB2312" w:eastAsia="仿宋_GB2312" w:cs="Times New Roman"/>
          <w:color w:val="auto"/>
          <w:spacing w:val="0"/>
          <w:kern w:val="0"/>
          <w:sz w:val="32"/>
          <w:szCs w:val="32"/>
          <w:lang w:val="en-US" w:eastAsia="zh-CN"/>
        </w:rPr>
        <w:t>为指导推动建立“两个清单”，省政府安委会办公室组织建立了《工贸企业（机械）重大事故隐患部门执法检查重点事项清单（参考模板）》（见附件1）和《化工和危险化学品企业重大事故隐患重点排查事项清单（参考模板）》（见附件2）。省有关部门、单位要参考模板，研究制定本系统重大事故隐患执法检查重点事项清单，明确检查内容、检查方式、检查依据、处罚标准等内容，依法推进照单履职、照单监管、照单执法。相关行业领域企业主要负责人要亲自研究、亲自推动，结合企业实际制定重大事故隐患重点排查事项清单，针对企业可能涉及到的重大事故隐患，逐一梳理涉及车间、涉及工艺、涉及岗位人员，明确排查内容、排查方式、责任人员、处理措施、排查依据等内容，列出相关法律、法规、标准、规程要求，做到底数清、责任明、有制度、有措施，形成重大事故隐患排查闭环管理机制，确保重大事故隐患早发现、早治理。</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（三）实行清单动态管理。</w:t>
      </w:r>
      <w:r>
        <w:rPr>
          <w:rFonts w:hint="default" w:ascii="仿宋_GB2312" w:hAnsi="仿宋_GB2312" w:eastAsia="仿宋_GB2312" w:cs="Times New Roman"/>
          <w:color w:val="auto"/>
          <w:spacing w:val="0"/>
          <w:kern w:val="0"/>
          <w:sz w:val="32"/>
          <w:szCs w:val="32"/>
          <w:lang w:val="en-US" w:eastAsia="zh-CN"/>
        </w:rPr>
        <w:t>省有关部门、单位和相关企业要根据重大事故隐患判定标准修订情况对清单事项进行动态调整，依据相关法律法规立改废释情况，对清单的检查依据、处罚标准等内容及时作出相应调整。相关企业还要根据从业人员、生产装置、工艺技术变更以及建设项目新改扩情况，组织对清单进行及时修订，确保清单的针对性、实效性和可操作性。</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（四）推动清单落地实施。</w:t>
      </w:r>
      <w:r>
        <w:rPr>
          <w:rFonts w:hint="default" w:ascii="仿宋_GB2312" w:hAnsi="仿宋_GB2312" w:eastAsia="仿宋_GB2312" w:cs="Times New Roman"/>
          <w:color w:val="auto"/>
          <w:spacing w:val="0"/>
          <w:kern w:val="0"/>
          <w:sz w:val="32"/>
          <w:szCs w:val="32"/>
          <w:lang w:val="en-US" w:eastAsia="zh-CN"/>
        </w:rPr>
        <w:t>要充分发挥好清单作用，规范和促进重大事故隐患排查治理工作。省有关部门、单位要依照清单，对企业可能涉及到的重大事故隐患事项，督促本系统监管执法人员实施精准执法检查。对检查发现的重大事故隐患，责令企业立即排除</w:t>
      </w:r>
      <w:r>
        <w:rPr>
          <w:rFonts w:hint="eastAsia" w:ascii="仿宋_GB2312" w:hAnsi="仿宋_GB2312" w:eastAsia="仿宋_GB2312" w:cs="Times New Roman"/>
          <w:color w:val="auto"/>
          <w:spacing w:val="0"/>
          <w:kern w:val="0"/>
          <w:sz w:val="32"/>
          <w:szCs w:val="32"/>
          <w:lang w:val="en-US" w:eastAsia="zh-CN"/>
        </w:rPr>
        <w:t>或限期排除</w:t>
      </w:r>
      <w:r>
        <w:rPr>
          <w:rFonts w:hint="default" w:ascii="仿宋_GB2312" w:hAnsi="仿宋_GB2312" w:eastAsia="仿宋_GB2312" w:cs="Times New Roman"/>
          <w:color w:val="auto"/>
          <w:spacing w:val="0"/>
          <w:kern w:val="0"/>
          <w:sz w:val="32"/>
          <w:szCs w:val="32"/>
          <w:lang w:val="en-US" w:eastAsia="zh-CN"/>
        </w:rPr>
        <w:t>，并确保排除前和排除过程中安全；难以保证安全的，责令企业从危险区域撤出作业人员，并责令暂时停产停业或停止使用相关设施设备，直至完成整改排除。各有关企业要针对每个重大事故隐患事项，明确具体排查周期和责任人员，有力有序开展隐患排查并如实记录；要组织车间、班组和一线从业人员认真学习隐患排查相关法律规定，强化责任落实，提高发现隐患消除隐患的强烈意愿和能力水平。</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color w:val="auto"/>
          <w:spacing w:val="0"/>
          <w:kern w:val="0"/>
          <w:sz w:val="32"/>
          <w:szCs w:val="32"/>
          <w:lang w:val="en-US" w:eastAsia="zh-CN"/>
        </w:rPr>
      </w:pPr>
      <w:r>
        <w:rPr>
          <w:rFonts w:hint="default" w:ascii="Times New Roman" w:hAnsi="Times New Roman" w:eastAsia="黑体" w:cs="Times New Roman"/>
          <w:color w:val="auto"/>
          <w:spacing w:val="0"/>
          <w:kern w:val="0"/>
          <w:sz w:val="32"/>
          <w:szCs w:val="32"/>
        </w:rPr>
        <w:t>三、</w:t>
      </w:r>
      <w:r>
        <w:rPr>
          <w:rFonts w:hint="default" w:ascii="Times New Roman" w:hAnsi="Times New Roman" w:eastAsia="黑体" w:cs="Times New Roman"/>
          <w:color w:val="auto"/>
          <w:spacing w:val="0"/>
          <w:kern w:val="0"/>
          <w:sz w:val="32"/>
          <w:szCs w:val="32"/>
          <w:lang w:val="en-US" w:eastAsia="zh-CN"/>
        </w:rPr>
        <w:t>保障措施</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（一）加强组织领导。</w:t>
      </w:r>
      <w:r>
        <w:rPr>
          <w:rFonts w:hint="default" w:ascii="仿宋_GB2312" w:hAnsi="仿宋_GB2312" w:eastAsia="仿宋_GB2312" w:cs="Times New Roman"/>
          <w:color w:val="auto"/>
          <w:spacing w:val="0"/>
          <w:kern w:val="0"/>
          <w:sz w:val="32"/>
          <w:szCs w:val="32"/>
          <w:lang w:val="en-US" w:eastAsia="zh-CN"/>
        </w:rPr>
        <w:t>省有关部门、单位要高度重视建立部门重大事故隐患执法检查重点事项清单工作，精心组织、周密部署，与重大事故隐患判定标准落地行动同部署、同推动、同落实。各有关企业要把建立重大事故隐患重点排查事项清单作为落实事故隐患排查治理制度的重要措施来抓，组织安全管理技术团队对可能涉及重大事故隐患的区域、场所、部位、设施、岗位等进行起底式梳理，明确查什么、怎么查，确保清单可执行、真管用。要结合实际制定具体实施方案，抓好组织实施，确保今年9月底前全部建立起“两个清单”。</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（二）强化学习培训。</w:t>
      </w:r>
      <w:r>
        <w:rPr>
          <w:rFonts w:hint="default" w:ascii="仿宋_GB2312" w:hAnsi="仿宋_GB2312" w:eastAsia="仿宋_GB2312" w:cs="Times New Roman"/>
          <w:color w:val="auto"/>
          <w:spacing w:val="0"/>
          <w:kern w:val="0"/>
          <w:sz w:val="32"/>
          <w:szCs w:val="32"/>
          <w:lang w:val="en-US" w:eastAsia="zh-CN"/>
        </w:rPr>
        <w:t>省有关部门、单位要对建立的执法检查重点事项清单，组织本系统监管执法人员开展学习培训，促使其掌握重大事故隐患事项的检查内容、检查依据和处罚标准，提升重大事故隐患精准判断能力和精准执法水平。各有关企业要将制定的重大事故隐患重点排查事项清单作为安全生产教育培训的重要内容，培训覆盖到车间、班组和一线从业人员，让每个员工学得会、能排查，织密重大事故隐患“排查网”。同行业领域企业要加强交流借鉴，促进提升重大事故隐患判定标准运用能力和清单制定水平。</w:t>
      </w:r>
    </w:p>
    <w:p>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both"/>
        <w:textAlignment w:val="auto"/>
        <w:rPr>
          <w:rFonts w:hint="default" w:ascii="仿宋_GB2312" w:hAnsi="仿宋_GB2312" w:eastAsia="仿宋_GB2312" w:cs="Times New Roman"/>
          <w:color w:val="auto"/>
          <w:spacing w:val="0"/>
          <w:kern w:val="0"/>
          <w:sz w:val="32"/>
          <w:szCs w:val="32"/>
          <w:lang w:val="en-US" w:eastAsia="zh-CN"/>
        </w:rPr>
      </w:pPr>
      <w:r>
        <w:rPr>
          <w:rFonts w:hint="eastAsia" w:ascii="Times New Roman" w:hAnsi="Times New Roman" w:eastAsia="楷体_GB2312" w:cs="Times New Roman"/>
          <w:color w:val="auto"/>
          <w:spacing w:val="0"/>
          <w:kern w:val="0"/>
          <w:sz w:val="32"/>
          <w:szCs w:val="32"/>
          <w:lang w:val="en-US" w:eastAsia="zh-CN"/>
        </w:rPr>
        <w:t>（</w:t>
      </w:r>
      <w:r>
        <w:rPr>
          <w:rFonts w:hint="default" w:ascii="Times New Roman" w:hAnsi="Times New Roman" w:eastAsia="楷体_GB2312" w:cs="Times New Roman"/>
          <w:color w:val="auto"/>
          <w:spacing w:val="0"/>
          <w:kern w:val="0"/>
          <w:sz w:val="32"/>
          <w:szCs w:val="32"/>
          <w:lang w:val="en-US" w:eastAsia="zh-CN"/>
        </w:rPr>
        <w:t>三</w:t>
      </w:r>
      <w:r>
        <w:rPr>
          <w:rFonts w:hint="eastAsia" w:ascii="Times New Roman" w:hAnsi="Times New Roman" w:eastAsia="楷体_GB2312" w:cs="Times New Roman"/>
          <w:color w:val="auto"/>
          <w:spacing w:val="0"/>
          <w:kern w:val="0"/>
          <w:sz w:val="32"/>
          <w:szCs w:val="32"/>
          <w:lang w:val="en-US" w:eastAsia="zh-CN"/>
        </w:rPr>
        <w:t>）</w:t>
      </w:r>
      <w:r>
        <w:rPr>
          <w:rFonts w:hint="default" w:ascii="Times New Roman" w:hAnsi="Times New Roman" w:eastAsia="楷体_GB2312" w:cs="Times New Roman"/>
          <w:color w:val="auto"/>
          <w:spacing w:val="0"/>
          <w:kern w:val="0"/>
          <w:sz w:val="32"/>
          <w:szCs w:val="32"/>
          <w:lang w:val="en-US" w:eastAsia="zh-CN"/>
        </w:rPr>
        <w:t>广泛开展宣传。</w:t>
      </w:r>
      <w:r>
        <w:rPr>
          <w:rFonts w:hint="default" w:ascii="仿宋_GB2312" w:hAnsi="仿宋_GB2312" w:eastAsia="仿宋_GB2312" w:cs="Times New Roman"/>
          <w:color w:val="auto"/>
          <w:spacing w:val="0"/>
          <w:kern w:val="0"/>
          <w:sz w:val="32"/>
          <w:szCs w:val="32"/>
          <w:lang w:val="en-US" w:eastAsia="zh-CN"/>
        </w:rPr>
        <w:t>各级各有关部门要将“两个清单”纳入普法和宣传重点内容，通过电视、广播、报纸、网络以及抖音、微信公众号等媒体平台进行广泛宣传，普及重大事故隐患判定标准和相关法律法规知识，增强广大职工群众安全素质和法治意识。各有关企业要加强对本单位重点排查事项清单的宣传，强化“隐患就是事故”的理念，通过有奖举报等形式鼓励和发动一线从业人员排查身边隐患，确保重大事故隐患第一时间发现、第一时间整改治理。</w:t>
      </w:r>
    </w:p>
    <w:p>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hAnsi="仿宋_GB2312" w:eastAsia="仿宋_GB2312"/>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（四）狠抓正反典型。</w:t>
      </w:r>
      <w:r>
        <w:rPr>
          <w:rFonts w:hint="default" w:ascii="仿宋_GB2312" w:hAnsi="仿宋_GB2312" w:eastAsia="仿宋_GB2312" w:cs="Times New Roman"/>
          <w:color w:val="auto"/>
          <w:spacing w:val="0"/>
          <w:kern w:val="0"/>
          <w:sz w:val="32"/>
          <w:szCs w:val="32"/>
          <w:lang w:val="en-US" w:eastAsia="zh-CN"/>
        </w:rPr>
        <w:t>各级各有关部门要通过重点检查、异地互查、专项检查、“双随机”抽查等形式，督促企业制定并实施重大事故隐患重点排查事项清单，对发现的重大事故隐患要依法查处，严厉追究有关单位和人员法律责任，及时曝光一批典型违法案例。同时，对于重大事故隐患重点排查事项清单建立落实工作突出的企业，省安委会办公室将择优选树典型，以点带面促进重大事故隐患判定标准落地见效。</w:t>
      </w:r>
    </w:p>
    <w:p>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eastAsia="仿宋_GB2312"/>
          <w:spacing w:val="0"/>
          <w:kern w:val="0"/>
          <w:sz w:val="32"/>
          <w:szCs w:val="32"/>
        </w:rPr>
      </w:pPr>
    </w:p>
    <w:p>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both"/>
        <w:textAlignment w:val="auto"/>
        <w:rPr>
          <w:rFonts w:hint="eastAsia" w:ascii="仿宋_GB2312" w:eastAsia="仿宋_GB2312"/>
          <w:spacing w:val="0"/>
          <w:kern w:val="0"/>
          <w:sz w:val="32"/>
          <w:szCs w:val="32"/>
        </w:rPr>
      </w:pPr>
    </w:p>
    <w:p>
      <w:pPr>
        <w:keepNext w:val="0"/>
        <w:keepLines w:val="0"/>
        <w:pageBreakBefore w:val="0"/>
        <w:widowControl w:val="0"/>
        <w:kinsoku/>
        <w:wordWrap/>
        <w:overflowPunct w:val="0"/>
        <w:topLinePunct w:val="0"/>
        <w:autoSpaceDE/>
        <w:autoSpaceDN/>
        <w:bidi w:val="0"/>
        <w:adjustRightInd/>
        <w:snapToGrid/>
        <w:spacing w:line="578" w:lineRule="exact"/>
        <w:ind w:left="0" w:leftChars="0" w:right="0" w:rightChars="0" w:firstLine="640" w:firstLineChars="200"/>
        <w:jc w:val="right"/>
        <w:textAlignment w:val="auto"/>
        <w:rPr>
          <w:rFonts w:hint="default" w:ascii="仿宋_GB2312" w:eastAsia="仿宋_GB2312"/>
          <w:spacing w:val="0"/>
          <w:sz w:val="32"/>
          <w:szCs w:val="32"/>
          <w:lang w:val="en-US" w:eastAsia="zh-CN"/>
        </w:rPr>
      </w:pPr>
      <w:r>
        <w:rPr>
          <w:rFonts w:hint="default" w:ascii="Times New Roman" w:hAnsi="Times New Roman" w:eastAsia="仿宋_GB2312" w:cs="Times New Roman"/>
          <w:color w:val="auto"/>
          <w:spacing w:val="0"/>
          <w:sz w:val="32"/>
          <w:szCs w:val="32"/>
          <w:lang w:eastAsia="zh-CN"/>
        </w:rPr>
        <w:t>山东省人民政府安全生产委员会办公室</w:t>
      </w:r>
    </w:p>
    <w:p>
      <w:pPr>
        <w:keepNext w:val="0"/>
        <w:keepLines w:val="0"/>
        <w:pageBreakBefore w:val="0"/>
        <w:widowControl w:val="0"/>
        <w:kinsoku/>
        <w:wordWrap w:val="0"/>
        <w:overflowPunct w:val="0"/>
        <w:topLinePunct w:val="0"/>
        <w:autoSpaceDE/>
        <w:autoSpaceDN/>
        <w:bidi w:val="0"/>
        <w:adjustRightInd/>
        <w:snapToGrid/>
        <w:spacing w:line="578" w:lineRule="exact"/>
        <w:ind w:left="0" w:leftChars="0" w:right="105" w:rightChars="50" w:firstLine="640" w:firstLineChars="200"/>
        <w:jc w:val="right"/>
        <w:textAlignment w:val="auto"/>
        <w:rPr>
          <w:rFonts w:hint="default" w:ascii="仿宋_GB2312" w:eastAsia="仿宋_GB2312"/>
          <w:spacing w:val="0"/>
          <w:sz w:val="32"/>
          <w:szCs w:val="32"/>
          <w:lang w:val="en-US" w:eastAsia="zh-CN"/>
        </w:rPr>
      </w:pPr>
      <w:r>
        <w:rPr>
          <w:rFonts w:hint="eastAsia" w:ascii="仿宋_GB2312" w:eastAsia="仿宋_GB2312"/>
          <w:spacing w:val="0"/>
          <w:sz w:val="32"/>
          <w:szCs w:val="32"/>
          <w:lang w:val="en-US" w:eastAsia="zh-CN"/>
        </w:rPr>
        <w:t xml:space="preserve">2024年4月16日         </w:t>
      </w:r>
    </w:p>
    <w:p>
      <w:pPr>
        <w:pStyle w:val="10"/>
        <w:keepNext w:val="0"/>
        <w:keepLines w:val="0"/>
        <w:pageBreakBefore w:val="0"/>
        <w:widowControl w:val="0"/>
        <w:kinsoku/>
        <w:wordWrap/>
        <w:overflowPunct w:val="0"/>
        <w:topLinePunct w:val="0"/>
        <w:autoSpaceDE/>
        <w:autoSpaceDN/>
        <w:bidi w:val="0"/>
        <w:adjustRightInd/>
        <w:spacing w:line="578" w:lineRule="exact"/>
        <w:ind w:firstLine="640" w:firstLineChars="200"/>
        <w:jc w:val="both"/>
        <w:textAlignment w:val="auto"/>
        <w:rPr>
          <w:rFonts w:hint="default" w:ascii="Times New Roman" w:hAnsi="Times New Roman" w:eastAsia="仿宋_GB2312" w:cs="Times New Roman"/>
          <w:color w:val="auto"/>
          <w:spacing w:val="0"/>
          <w:sz w:val="32"/>
          <w:szCs w:val="32"/>
          <w:lang w:val="en-US" w:eastAsia="zh-CN"/>
        </w:rPr>
        <w:sectPr>
          <w:footerReference r:id="rId3" w:type="default"/>
          <w:pgSz w:w="11906" w:h="16838"/>
          <w:pgMar w:top="2098" w:right="1474" w:bottom="1984" w:left="1587" w:header="851" w:footer="1531"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color w:val="auto"/>
          <w:spacing w:val="0"/>
          <w:sz w:val="32"/>
          <w:szCs w:val="32"/>
          <w:lang w:val="en-US" w:eastAsia="zh-CN"/>
        </w:rPr>
        <w:t>（此件公开发布）</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黑体" w:hAnsi="黑体" w:eastAsia="黑体"/>
          <w:lang w:val="en-US" w:eastAsia="zh-CN"/>
        </w:rPr>
      </w:pPr>
      <w:r>
        <w:rPr>
          <w:rFonts w:hint="eastAsia" w:ascii="黑体" w:hAnsi="黑体" w:eastAsia="黑体"/>
          <w:lang w:val="en-US" w:eastAsia="zh-CN"/>
        </w:rPr>
        <w:t>附件1</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jc w:val="center"/>
        <w:textAlignment w:val="auto"/>
        <w:rPr>
          <w:rFonts w:hint="eastAsia" w:eastAsia="方正小标宋简体"/>
          <w:sz w:val="44"/>
          <w:szCs w:val="44"/>
          <w:lang w:val="en-US" w:eastAsia="zh-CN"/>
        </w:rPr>
      </w:pPr>
      <w:bookmarkStart w:id="0" w:name="_GoBack"/>
      <w:r>
        <w:rPr>
          <w:rFonts w:hint="eastAsia" w:eastAsia="方正小标宋简体"/>
          <w:sz w:val="44"/>
          <w:szCs w:val="44"/>
          <w:lang w:val="en-US" w:eastAsia="zh-CN"/>
        </w:rPr>
        <w:t>工贸企业（机械）重大事故隐患执法检查重点事项清单</w:t>
      </w:r>
      <w:bookmarkEnd w:id="0"/>
      <w:r>
        <w:rPr>
          <w:rFonts w:hint="eastAsia" w:eastAsia="方正小标宋简体"/>
          <w:sz w:val="44"/>
          <w:szCs w:val="44"/>
          <w:lang w:val="en-US" w:eastAsia="zh-CN"/>
        </w:rPr>
        <w:t>（参考模板）</w:t>
      </w:r>
    </w:p>
    <w:tbl>
      <w:tblPr>
        <w:tblStyle w:val="13"/>
        <w:tblW w:w="149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36"/>
        <w:gridCol w:w="637"/>
        <w:gridCol w:w="2375"/>
        <w:gridCol w:w="600"/>
        <w:gridCol w:w="838"/>
        <w:gridCol w:w="1024"/>
        <w:gridCol w:w="4426"/>
        <w:gridCol w:w="3561"/>
        <w:gridCol w:w="1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67" w:hRule="atLeast"/>
          <w:tblHeader/>
          <w:jc w:val="center"/>
        </w:trPr>
        <w:tc>
          <w:tcPr>
            <w:tcW w:w="3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63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事项</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检查内容</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检查方式</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lang w:val="en-US" w:eastAsia="zh-CN" w:bidi="ar"/>
              </w:rPr>
            </w:pPr>
            <w:r>
              <w:rPr>
                <w:rFonts w:hint="eastAsia" w:ascii="黑体" w:hAnsi="宋体" w:eastAsia="黑体" w:cs="黑体"/>
                <w:i w:val="0"/>
                <w:color w:val="000000"/>
                <w:kern w:val="0"/>
                <w:sz w:val="20"/>
                <w:szCs w:val="20"/>
                <w:u w:val="none"/>
                <w:lang w:val="en-US" w:eastAsia="zh-CN" w:bidi="ar"/>
              </w:rPr>
              <w:t>检查</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结果</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处理措施</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检查依据</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处罚标准</w:t>
            </w:r>
          </w:p>
        </w:tc>
        <w:tc>
          <w:tcPr>
            <w:tcW w:w="111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宋体" w:eastAsia="黑体" w:cs="黑体"/>
                <w:i w:val="0"/>
                <w:color w:val="000000"/>
                <w:kern w:val="0"/>
                <w:sz w:val="20"/>
                <w:szCs w:val="20"/>
                <w:u w:val="none"/>
              </w:rPr>
            </w:pPr>
            <w:r>
              <w:rPr>
                <w:rFonts w:hint="eastAsia" w:ascii="黑体" w:hAnsi="宋体" w:eastAsia="黑体" w:cs="黑体"/>
                <w:i w:val="0"/>
                <w:color w:val="000000"/>
                <w:kern w:val="0"/>
                <w:sz w:val="20"/>
                <w:szCs w:val="20"/>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企业对承包单位和承租单位的安全管理情况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1.生产经营项目、场所发包或者出租给其他单位的，企业是否与承包单位、承租单位签订专门的安全生产管理协议，或者是否在承包合同、承租合同中约定各自的安全生产管理职责。</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查阅资料、现场检查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1.下达《责令限期整改指令书》，责令限期改正；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1.《工贸企业重大事故隐患判定标准（应急管理部令第10号》第三条第一项：“（一）未对承包单位、承租单位的安全生产工作统一协调、管理，或者未定期进行安全检查的；”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四十九条：“生产经营单位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矿山、金属冶炼建设项目和用于生产、储存、装卸危险物品的建设项目的施工单位应当加强对施工项目的安全管理，不得倒卖、出租、出借、挂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356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1118"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2.生产经营项目、场所发包或者出租给其他单位的，企业与承包单位、承租单位签订的安全生产管理协议、承包合同、承租合同中，是否免除或者转嫁企业安全生产工作统一协调、管理义务。</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1"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3.生产经营项目、场所发包或者出租给其他单位的，企业是否按照安全生产规章制度或者协议、合同中的要求，定期对承包单位、承租单位进行安全检查，或者发现安全问题是否督促整改。</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3"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特种作业人员持证上岗情况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1.聚焦企业可能涉及的电工（高压、低压、防爆）、焊工、煤气作业等特种作业工种，查看企业是否使用未取得相应特种作业操作证的特种作业人员上岗作业。</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查阅资料、现场检查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1.《工贸企业重大事故隐患判定标准（应急管理部令第10号》第三条第二项：“（二）特种作业人员未按照规定经专门的安全作业培训并取得相应资格，上岗作业的；”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2.《安全生产法》第三十条：“生产经营单位的特种作业人员必须按照国家有关规定经专门的安全作业培训，取得相应资格，方可上岗作业。”</w:t>
            </w:r>
          </w:p>
        </w:tc>
        <w:tc>
          <w:tcPr>
            <w:tcW w:w="356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特种作业人员安全技术培训考核管理规定》（原国家安全监管总局令第30号，2015年7月修改）第三十九条：“生产经营单位使用未取得特种作业操作证的特种作业人员上岗作业的，责令限期改正；可以处5万元以下的罚款；逾期未改正的，责令停产停业整顿，并处5万元以上 10万元以下的罚款，对直接负责的主管人员和其他直接责任人员处1万元以上2万元以下的罚款。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3.《安全生产培训管理办法》（原国家安全监管总局令第44号，2015年5月修改）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4.《特种作业人员安全技术培训考核管理规定》（原国家安全监管总局令第30号，2015年7月修改）第四十一条第一款：“特种作业人员伪造、涂改特种作业操作证或者使用伪造的特种作业操作证的，给予警告，并处1000元以上 5000元以下的罚款。”</w:t>
            </w:r>
          </w:p>
        </w:tc>
        <w:tc>
          <w:tcPr>
            <w:tcW w:w="1118"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3"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2.聚焦企业可能涉及的电工（高压、低压、防爆）、焊工、高处作业等特种作业工种，查看企业是否使用伪造特种作业操作证的特种作业人员上岗作业。</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3.聚焦企业可能涉及的电工（高压、低压、防爆）、焊工、煤气作业等特种作业工种，查看企业是否使用特种作业操作证已过有效期或者到期未复审的特种作业人员上岗作业。</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4" w:hRule="atLeast"/>
          <w:jc w:val="center"/>
        </w:trPr>
        <w:tc>
          <w:tcPr>
            <w:tcW w:w="3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w:t>
            </w:r>
          </w:p>
        </w:tc>
        <w:tc>
          <w:tcPr>
            <w:tcW w:w="63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存在金属冶炼工艺的机械企业的主要负责人和安全生产管理人员考核情况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对存在金属冶炼工艺的机械企业，查看企业主要负责人、安全生产管理人员任职之日起6个月后，是否经相应的应急管理部门考核合格。</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查看证件</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1.下达《责令限期整改指令书》，责令限期改正；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Style w:val="23"/>
                <w:rFonts w:ascii="仿宋_GB2312" w:hAnsi="仿宋_GB2312" w:eastAsia="仿宋_GB2312"/>
                <w:kern w:val="0"/>
                <w:sz w:val="20"/>
                <w:szCs w:val="20"/>
                <w:lang w:val="en-US" w:eastAsia="zh-CN" w:bidi="ar"/>
              </w:rPr>
            </w:pPr>
            <w:r>
              <w:rPr>
                <w:rStyle w:val="23"/>
                <w:rFonts w:ascii="仿宋_GB2312" w:hAnsi="仿宋_GB2312" w:eastAsia="仿宋_GB2312"/>
                <w:kern w:val="0"/>
                <w:sz w:val="20"/>
                <w:szCs w:val="20"/>
                <w:lang w:val="en-US" w:eastAsia="zh-CN" w:bidi="ar"/>
              </w:rPr>
              <w:t>1.《工贸企业重大事故隐患判定标准（应急管理部令第10号》第三条第三项：“（三）金属冶炼企业主要负责人、安全生产管理人员未按照规定经考核合格的”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Style w:val="23"/>
                <w:rFonts w:ascii="仿宋_GB2312" w:hAnsi="仿宋_GB2312" w:eastAsia="仿宋_GB2312"/>
                <w:kern w:val="0"/>
                <w:sz w:val="20"/>
                <w:szCs w:val="20"/>
                <w:lang w:val="en-US" w:eastAsia="zh-CN" w:bidi="ar"/>
              </w:rPr>
            </w:pPr>
            <w:r>
              <w:rPr>
                <w:rStyle w:val="23"/>
                <w:rFonts w:ascii="仿宋_GB2312" w:hAnsi="仿宋_GB2312" w:eastAsia="仿宋_GB2312"/>
                <w:kern w:val="0"/>
                <w:sz w:val="20"/>
                <w:szCs w:val="20"/>
                <w:lang w:val="en-US" w:eastAsia="zh-CN" w:bidi="ar"/>
              </w:rPr>
              <w:t>2.《安全生产法》第二十七条第一款规定：生产经营单位的主要负责人和安全生产管理人员必须具备与本单位所从事的生产经营活动相应的安全生产知识和管理能力。”</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Style w:val="23"/>
                <w:rFonts w:ascii="仿宋_GB2312" w:hAnsi="仿宋_GB2312" w:eastAsia="仿宋_GB2312"/>
                <w:kern w:val="0"/>
                <w:sz w:val="20"/>
                <w:szCs w:val="20"/>
                <w:lang w:val="en-US" w:eastAsia="zh-CN" w:bidi="ar"/>
              </w:rPr>
              <w:t>3.《冶金企业和有色金属企业安全生产规定》(国家安全生产监督管理总局令第91号)第十一条：“企业主要负责人、安全生产管理人员应当接受安全生产教育和培训，具备与本企业生产经营活动相适应的安全生产知识和管理能力。其中，存在金属冶炼工艺的企业的主要负责人、安全生产管理人员自任职之日起六个月内，必须接受负有冶金有色安全生产监管职责的部门对其进行安全生产知识和管理能力考核，并考核合格。”</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山东省安全生产条例》（2017年1月通过，2021年12月3日修订）第七十五条第五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九十七条第二项规定：“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111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3"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4</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机械铸造企业人员密集场所设置情况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1.查看会议室、活动室、休息室、更衣室、交接班室，是否设置在熔融金属吊运跨的正下方地坪区域内。</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一项：“机械企业有下列情形之一的，应当判定为重大事故隐患：（一）会议室、活动室、休息室、更衣室、交接班室等5类人员聚集场所设置在熔融金属吊运跨或者浇注跨的地坪区域内的；”</w:t>
            </w:r>
          </w:p>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安全生产法》第二十条：“生产经营单位应当具备本法和有关法律、行政法规和国家标准或者行业标准规定的安全生产条件；不具备安全生产条件的，不得从事生产经营活动。”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_GB2312" w:hAnsi="仿宋_GB2312" w:eastAsia="仿宋_GB2312" w:cs="仿宋"/>
                <w:i w:val="0"/>
                <w:color w:val="000000"/>
                <w:spacing w:val="-6"/>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3.《冶金企业和有色金属企业安全生产规定》(国家安全生产监督管理总局令第91号)第二条第二款</w:t>
            </w:r>
            <w:r>
              <w:rPr>
                <w:rFonts w:hint="eastAsia" w:ascii="仿宋_GB2312" w:hAnsi="仿宋_GB2312" w:eastAsia="仿宋_GB2312" w:cs="仿宋"/>
                <w:i w:val="0"/>
                <w:color w:val="000000"/>
                <w:spacing w:val="-6"/>
                <w:kern w:val="0"/>
                <w:sz w:val="20"/>
                <w:szCs w:val="20"/>
                <w:u w:val="none"/>
                <w:lang w:val="en-US" w:eastAsia="zh-CN" w:bidi="ar"/>
              </w:rPr>
              <w:t>：“机械铸造企业中金属冶炼活动的安全生产和监督管理参照本规定执行。”第二十七条：“企业的操作室、会议室、活动室、休息室、更衣室等场所不得设置在高温熔融金属吊运的影响范围内。”</w:t>
            </w:r>
          </w:p>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4.《高温熔融金属吊运安全规程》（AQ7011-2018）第5.7条：“高温熔融金属和熔渣吊运行走区域禁止设置操作室、会议室、交接班室、活动室、休息室、更衣室、澡堂等人员密集场所；不应设置放置可燃、易燃物品的仓库、储物间；不应有液压站、电气间、电缆桥架等重要防火场所和设施。”</w:t>
            </w:r>
          </w:p>
        </w:tc>
        <w:tc>
          <w:tcPr>
            <w:tcW w:w="356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冶金企业和有色金属企业安全生产规定》(国家安全生产监督管理总局令第91号)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1118"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8"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2.查看会议室、活动室、休息室、更衣室、交接班室，是否设置在熔融金属浇注跨的正下方地坪区域内。</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7"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 xml:space="preserve">3.查看位于熔融金属吊运架空层平台下方，在吊运跨或者浇注跨两侧立柱边界以内的会议室、活动室、休息室、更衣室、交接班室，面向熔融金属吊运一侧，是否采取实体墙完全封闭的。                      </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5</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机械铸造企业熔炼炉、精炼炉、保温炉的应急设施设置情况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1.铸造用熔炼炉、精炼炉、保温炉，是否设置紧急排放和应急储存设施。</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二项：“机械企业有下列情形之一的，应当判定为重大事故隐患：（二）铸造用熔炼炉、精炼炉、保温炉未设置紧急排放和应急储存设施的。”</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安全生产法》第二十条：“生产经营单位应当具备本法和有关法律、行政法规和国家标准或者行业标准规定的安全生产条件；不具备安全生产条件的，不得从事生产经营活动。”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3.《冶金企业和有色金属企业安全生产规定》第二十九条第二款：“企业对电炉、铸造熔炼炉、保温炉、倾翻炉、铸机、流液槽、熔盐电解槽等设备，应当设置熔融金属紧急排放和储存的设施，并在设备周围设置拦挡围堰，防止熔融金属外流。”</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4.《高温熔融金属吊运安全规程》（AQ7011-2018）第5.9条：“吊运高温熔融金属和熔渣的区域应设置事故罐，事故罐放置应在专用位置或专用支架上，并设置明显安全警示标识”。</w:t>
            </w:r>
          </w:p>
        </w:tc>
        <w:tc>
          <w:tcPr>
            <w:tcW w:w="356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111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i w:val="0"/>
                <w:color w:val="000000"/>
                <w:kern w:val="0"/>
                <w:sz w:val="20"/>
                <w:szCs w:val="20"/>
                <w:u w:val="none"/>
              </w:rPr>
            </w:pPr>
            <w:r>
              <w:rPr>
                <w:rStyle w:val="25"/>
                <w:rFonts w:ascii="仿宋_GB2312" w:hAnsi="仿宋_GB2312" w:eastAsia="仿宋_GB2312"/>
                <w:b/>
                <w:bCs w:val="0"/>
                <w:kern w:val="0"/>
                <w:sz w:val="20"/>
                <w:szCs w:val="20"/>
                <w:lang w:val="en-US" w:eastAsia="zh-CN" w:bidi="ar"/>
              </w:rPr>
              <w:t>除外</w:t>
            </w:r>
            <w:r>
              <w:rPr>
                <w:rStyle w:val="25"/>
                <w:rFonts w:ascii="仿宋_GB2312" w:hAnsi="仿宋_GB2312" w:eastAsia="仿宋_GB2312"/>
                <w:b/>
                <w:bCs w:val="0"/>
                <w:spacing w:val="-6"/>
                <w:kern w:val="0"/>
                <w:sz w:val="20"/>
                <w:szCs w:val="20"/>
                <w:lang w:val="en-US" w:eastAsia="zh-CN" w:bidi="ar"/>
              </w:rPr>
              <w:t>情形：</w:t>
            </w:r>
            <w:r>
              <w:rPr>
                <w:rStyle w:val="23"/>
                <w:rFonts w:ascii="仿宋_GB2312" w:hAnsi="仿宋_GB2312" w:eastAsia="仿宋_GB2312"/>
                <w:kern w:val="0"/>
                <w:sz w:val="20"/>
                <w:szCs w:val="20"/>
                <w:lang w:val="en-US" w:eastAsia="zh-CN" w:bidi="ar"/>
              </w:rPr>
              <w:t>有色合金铸造用机边炉未设置紧急排放和应急储存</w:t>
            </w:r>
            <w:r>
              <w:rPr>
                <w:rStyle w:val="23"/>
                <w:rFonts w:ascii="仿宋_GB2312" w:hAnsi="仿宋_GB2312" w:eastAsia="仿宋_GB2312"/>
                <w:spacing w:val="-6"/>
                <w:kern w:val="0"/>
                <w:sz w:val="20"/>
                <w:szCs w:val="20"/>
                <w:lang w:val="en-US" w:eastAsia="zh-CN" w:bidi="ar"/>
              </w:rPr>
              <w:t>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0"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2.铸造用熔炼炉、精炼炉、保温炉的应急储存设施容积是否小于炉体最大容量。</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3.两台或者两台以上熔炼炉、精炼炉、保温炉共用应急储存设施，其容量是否小于各熔炼炉、精炼炉、保温炉炉体容量之和。</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6</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机械铸造企业生产期间炉坑内部区域情况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1.生产期间铸造用熔炼炉、精炼炉、保温炉的炉底、炉坑，事故坑内部，以及熔融金属泄漏、喷溅影响范围内的炉前平台、炉基区域是否存在积水。</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三项：“机械企业有下列情形之一的，应当判定为重大事故隐患：（三）生产期间铸造用熔炼炉、精炼炉、保温炉的炉底、炉坑和事故坑，以及熔融金属泄漏、喷溅影响范围内的炉前平台、炉基区域、造型地坑、浇注作业坑和熔融金属转运通道等 8 类区域存在积水的。”</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3.《冶金企业和有色金属企业安全生产规定》第二十九条第一款：“企业对电炉、电解车间应当采取防雨措施和有效的排水设施，防止雨水进入槽下地坪，确保电炉、电解槽下没有积水。”</w:t>
            </w:r>
          </w:p>
        </w:tc>
        <w:tc>
          <w:tcPr>
            <w:tcW w:w="356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冶金企业和有色金属企业安全生产规定》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111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23"/>
                <w:rFonts w:ascii="仿宋_GB2312" w:hAnsi="仿宋_GB2312" w:eastAsia="仿宋_GB2312"/>
                <w:kern w:val="0"/>
                <w:sz w:val="20"/>
                <w:szCs w:val="20"/>
                <w:lang w:val="en-US" w:eastAsia="zh-CN" w:bidi="ar"/>
              </w:rPr>
            </w:pPr>
            <w:r>
              <w:rPr>
                <w:rStyle w:val="25"/>
                <w:rFonts w:ascii="仿宋_GB2312" w:hAnsi="仿宋_GB2312" w:eastAsia="仿宋_GB2312"/>
                <w:kern w:val="0"/>
                <w:sz w:val="20"/>
                <w:szCs w:val="20"/>
                <w:lang w:val="en-US" w:eastAsia="zh-CN" w:bidi="ar"/>
              </w:rPr>
              <w:t>除外情形：</w:t>
            </w:r>
            <w:r>
              <w:rPr>
                <w:rStyle w:val="23"/>
                <w:rFonts w:ascii="仿宋_GB2312" w:hAnsi="仿宋_GB2312" w:eastAsia="仿宋_GB2312"/>
                <w:kern w:val="0"/>
                <w:sz w:val="20"/>
                <w:szCs w:val="20"/>
                <w:lang w:val="en-US" w:eastAsia="zh-CN" w:bidi="ar"/>
              </w:rPr>
              <w:t>1.生产期间事故坑以及熔融金属泄漏、喷溅影响范围内的炉前平台、造型地坑、浇注作业坑和熔融金属转运通道潮湿。</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b/>
                <w:i w:val="0"/>
                <w:color w:val="000000"/>
                <w:kern w:val="0"/>
                <w:sz w:val="20"/>
                <w:szCs w:val="20"/>
                <w:u w:val="none"/>
              </w:rPr>
            </w:pPr>
            <w:r>
              <w:rPr>
                <w:rStyle w:val="23"/>
                <w:rFonts w:ascii="仿宋_GB2312" w:hAnsi="仿宋_GB2312" w:eastAsia="仿宋_GB2312"/>
                <w:kern w:val="0"/>
                <w:sz w:val="20"/>
                <w:szCs w:val="20"/>
                <w:lang w:val="en-US" w:eastAsia="zh-CN" w:bidi="ar"/>
              </w:rPr>
              <w:t>2.生产期间设置在熔炼、精炼、铸造生产区域，用于收集、外排检修和设备故障漏水以及工艺冷却水的排水沟（槽）内积水保持流动状态。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1"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2.生产期间造型地坑、浇注作业坑是否存在积水。</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3.生产期间熔融金属转运通道正下方平面及其周边3米区域内是否存在积水。</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1"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4.在架空层通过固定轨道转运熔融金属时，架空层表面是否存在积水。</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7</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机械铸造企业冷却水系统出水温度、进出水流量差监测报警装置设置情况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1.铸造用熔炼炉、精炼炉冷却水系统是否设置出水温度监测报警装置，或者出水温度监测报警装置是否与熔融金属加热系统联锁。</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四项：“机械企业有下列情形之一的，应当判定为重大事故隐患：（四）铸造用熔炼炉、精炼炉、压铸机、氧枪的冷却水系统未设置出水温度、进出水流量差监测报警装置，或者监测报警装置未与熔融金属加热、输送控制系统联锁的。”</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561" w:type="dxa"/>
            <w:vMerge w:val="restart"/>
            <w:tcBorders>
              <w:tl2br w:val="nil"/>
              <w:tr2bl w:val="nil"/>
            </w:tcBorders>
            <w:shd w:val="clear" w:color="auto" w:fill="auto"/>
            <w:tcMar>
              <w:top w:w="15" w:type="dxa"/>
              <w:left w:w="15" w:type="dxa"/>
              <w:right w:w="1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400" w:firstLineChars="200"/>
              <w:jc w:val="both"/>
              <w:textAlignment w:val="auto"/>
              <w:rPr>
                <w:rFonts w:hint="eastAsia" w:ascii="仿宋_GB2312" w:hAnsi="仿宋_GB2312" w:eastAsia="仿宋_GB2312" w:cs="仿宋"/>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p>
        </w:tc>
        <w:tc>
          <w:tcPr>
            <w:tcW w:w="111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3"/>
                <w:rFonts w:ascii="仿宋_GB2312" w:hAnsi="仿宋_GB2312" w:eastAsia="仿宋_GB2312"/>
                <w:spacing w:val="-6"/>
                <w:kern w:val="0"/>
                <w:sz w:val="20"/>
                <w:szCs w:val="20"/>
                <w:lang w:val="en-US" w:eastAsia="zh-CN" w:bidi="ar"/>
              </w:rPr>
            </w:pPr>
            <w:r>
              <w:rPr>
                <w:rStyle w:val="25"/>
                <w:rFonts w:ascii="仿宋_GB2312" w:hAnsi="仿宋_GB2312" w:eastAsia="仿宋_GB2312"/>
                <w:spacing w:val="-6"/>
                <w:kern w:val="0"/>
                <w:sz w:val="20"/>
                <w:szCs w:val="20"/>
                <w:lang w:val="en-US" w:eastAsia="zh-CN" w:bidi="ar"/>
              </w:rPr>
              <w:t>除外情形：</w:t>
            </w:r>
            <w:r>
              <w:rPr>
                <w:rStyle w:val="23"/>
                <w:rFonts w:ascii="仿宋_GB2312" w:hAnsi="仿宋_GB2312" w:eastAsia="仿宋_GB2312"/>
                <w:spacing w:val="-6"/>
                <w:kern w:val="0"/>
                <w:sz w:val="20"/>
                <w:szCs w:val="20"/>
                <w:lang w:val="en-US" w:eastAsia="zh-CN" w:bidi="ar"/>
              </w:rPr>
              <w:t>（1）有色合金铸造用机边熔保一体炉，未设置出水温度、进出水流量差监测报警装置，或者监测报警装置未与熔融金属加热、输送控制系统联锁；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i w:val="0"/>
                <w:color w:val="000000"/>
                <w:spacing w:val="-6"/>
                <w:kern w:val="0"/>
                <w:sz w:val="20"/>
                <w:szCs w:val="20"/>
                <w:u w:val="none"/>
              </w:rPr>
            </w:pPr>
            <w:r>
              <w:rPr>
                <w:rStyle w:val="23"/>
                <w:rFonts w:ascii="仿宋_GB2312" w:hAnsi="仿宋_GB2312" w:eastAsia="仿宋_GB2312"/>
                <w:spacing w:val="-6"/>
                <w:kern w:val="0"/>
                <w:sz w:val="20"/>
                <w:szCs w:val="20"/>
                <w:lang w:val="en-US" w:eastAsia="zh-CN" w:bidi="ar"/>
              </w:rPr>
              <w:t>（2）用于非镁合金压铸且锁模力小于2000吨（含）、开合模区域设有安全门或者安全挡板的压铸机，用于模温控制的冷却水系统未设置出水温度、进出水流量差监测报警装置，或者监测报警装置未与熔融金属输送控制系统联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仿宋" w:hAnsi="仿宋" w:eastAsia="仿宋" w:cs="仿宋"/>
                <w:i w:val="0"/>
                <w:color w:val="000000"/>
                <w:spacing w:val="-9"/>
                <w:kern w:val="0"/>
                <w:sz w:val="20"/>
                <w:szCs w:val="20"/>
                <w:u w:val="none"/>
              </w:rPr>
            </w:pPr>
            <w:r>
              <w:rPr>
                <w:rFonts w:hint="eastAsia" w:ascii="仿宋_GB2312" w:hAnsi="仿宋_GB2312" w:eastAsia="仿宋_GB2312" w:cs="仿宋"/>
                <w:i w:val="0"/>
                <w:color w:val="000000"/>
                <w:spacing w:val="-9"/>
                <w:kern w:val="0"/>
                <w:sz w:val="20"/>
                <w:szCs w:val="20"/>
                <w:u w:val="none"/>
                <w:lang w:val="en-US" w:eastAsia="zh-CN" w:bidi="ar"/>
              </w:rPr>
              <w:t>2.铸造用熔炼炉、精炼炉冷却水系统是否设置进出水流量差监测报警装置，或者进出水流量差监测报警装置是否与熔融金属加热系统联锁。</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仿宋" w:hAnsi="仿宋" w:eastAsia="仿宋" w:cs="仿宋"/>
                <w:i w:val="0"/>
                <w:color w:val="000000"/>
                <w:spacing w:val="-6"/>
                <w:kern w:val="0"/>
                <w:sz w:val="20"/>
                <w:szCs w:val="20"/>
                <w:u w:val="none"/>
              </w:rPr>
            </w:pPr>
            <w:r>
              <w:rPr>
                <w:rFonts w:hint="eastAsia" w:ascii="仿宋_GB2312" w:hAnsi="仿宋_GB2312" w:eastAsia="仿宋_GB2312" w:cs="仿宋"/>
                <w:i w:val="0"/>
                <w:color w:val="000000"/>
                <w:spacing w:val="-6"/>
                <w:kern w:val="0"/>
                <w:sz w:val="20"/>
                <w:szCs w:val="20"/>
                <w:u w:val="none"/>
                <w:lang w:val="en-US" w:eastAsia="zh-CN" w:bidi="ar"/>
              </w:rPr>
              <w:t>3.用于压铸机模温控制的冷却水系统是否设置出水温度监测报警装置，或者出水温度监测报警装置是否与熔融金属输送控制系统联锁。</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仿宋" w:hAnsi="仿宋" w:eastAsia="仿宋" w:cs="仿宋"/>
                <w:i w:val="0"/>
                <w:color w:val="000000"/>
                <w:spacing w:val="-6"/>
                <w:kern w:val="0"/>
                <w:sz w:val="20"/>
                <w:szCs w:val="20"/>
                <w:u w:val="none"/>
              </w:rPr>
            </w:pPr>
            <w:r>
              <w:rPr>
                <w:rFonts w:hint="eastAsia" w:ascii="仿宋_GB2312" w:hAnsi="仿宋_GB2312" w:eastAsia="仿宋_GB2312" w:cs="仿宋"/>
                <w:i w:val="0"/>
                <w:color w:val="000000"/>
                <w:spacing w:val="-6"/>
                <w:kern w:val="0"/>
                <w:sz w:val="20"/>
                <w:szCs w:val="20"/>
                <w:u w:val="none"/>
                <w:lang w:val="en-US" w:eastAsia="zh-CN" w:bidi="ar"/>
              </w:rPr>
              <w:t>4.用于压铸机模温控制的冷却水系统是否设置进出水流量</w:t>
            </w:r>
            <w:r>
              <w:rPr>
                <w:rFonts w:hint="eastAsia" w:ascii="仿宋_GB2312" w:hAnsi="仿宋_GB2312" w:eastAsia="仿宋_GB2312" w:cs="仿宋"/>
                <w:i w:val="0"/>
                <w:color w:val="000000"/>
                <w:spacing w:val="-9"/>
                <w:kern w:val="0"/>
                <w:sz w:val="20"/>
                <w:szCs w:val="20"/>
                <w:u w:val="none"/>
                <w:lang w:val="en-US" w:eastAsia="zh-CN" w:bidi="ar"/>
              </w:rPr>
              <w:t>差监测报警装置（或者等效的测漏报警装置，如水压监测报警装置），</w:t>
            </w:r>
            <w:r>
              <w:rPr>
                <w:rFonts w:hint="eastAsia" w:ascii="仿宋_GB2312" w:hAnsi="仿宋_GB2312" w:eastAsia="仿宋_GB2312" w:cs="仿宋"/>
                <w:i w:val="0"/>
                <w:color w:val="000000"/>
                <w:spacing w:val="-6"/>
                <w:kern w:val="0"/>
                <w:sz w:val="20"/>
                <w:szCs w:val="20"/>
                <w:u w:val="none"/>
                <w:lang w:val="en-US" w:eastAsia="zh-CN" w:bidi="ar"/>
              </w:rPr>
              <w:t>或者进出水流量差监测报警装置（或者等效的测漏报警装置，如水压监测报警装置）是否与熔融金属输送控制系统联锁。</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5.氧枪的冷却水系统是否设置出水温度监测报警装置，或者出水温度监测报警装置是否与氧气输送控制系统联锁。</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4"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6.氧枪的冷却水系统是否设置进出水流量差监测报警装置，或者进出水流量差监测报警装置是否与氧气输送控制系统联锁。</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b/>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9"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8</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企业以煤气（天然气）为燃料的单台设备监测报警装置设置情况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1.查看使用煤气（天然气）为燃料的单台燃烧装置的入口总管道是否设置管道压力监测报警装置。</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五项：“机械企业有下列情形之一的，应当判定为重大事故隐患：（五）使用煤气（天然气）的燃烧装置的燃气总管未设置管道压力监测报警装置，或者检测报警装置未与紧急自动切断装置连锁，或者燃烧装置未设置火焰监测和熄火保护系统。”</w:t>
            </w:r>
          </w:p>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suppressLineNumbers w:val="0"/>
              <w:kinsoku/>
              <w:wordWrap/>
              <w:overflowPunct/>
              <w:topLinePunct w:val="0"/>
              <w:autoSpaceDE/>
              <w:autoSpaceDN/>
              <w:bidi w:val="0"/>
              <w:adjustRightInd/>
              <w:snapToGrid/>
              <w:spacing w:line="270" w:lineRule="exact"/>
              <w:ind w:firstLine="400"/>
              <w:jc w:val="both"/>
              <w:textAlignment w:val="center"/>
              <w:rPr>
                <w:rFonts w:hint="eastAsia" w:ascii="仿宋" w:hAnsi="仿宋" w:eastAsia="仿宋" w:cs="仿宋"/>
                <w:i w:val="0"/>
                <w:color w:val="000000"/>
                <w:kern w:val="0"/>
                <w:sz w:val="20"/>
                <w:szCs w:val="20"/>
                <w:u w:val="none"/>
              </w:rPr>
            </w:pPr>
          </w:p>
        </w:tc>
        <w:tc>
          <w:tcPr>
            <w:tcW w:w="3561" w:type="dxa"/>
            <w:vMerge w:val="restart"/>
            <w:tcBorders>
              <w:tl2br w:val="nil"/>
              <w:tr2bl w:val="nil"/>
            </w:tcBorders>
            <w:shd w:val="clear" w:color="auto" w:fill="auto"/>
            <w:tcMar>
              <w:top w:w="15" w:type="dxa"/>
              <w:left w:w="15" w:type="dxa"/>
              <w:right w:w="1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p>
        </w:tc>
        <w:tc>
          <w:tcPr>
            <w:tcW w:w="1118"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2.查看使用煤气（天然气）为燃料的单台燃烧装置的入口总管道的压力监测报警装置是否与紧急自动切断装置联锁。</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7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3.查看使用煤气（天然气）为燃料的单台燃烧装置是否设置火焰监测和熄火保护系统。</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7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9</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企业使用可燃性有机溶剂清洗设备、器具、地面等情况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1.查看使用可燃性有机溶剂清洗设备设施、工装器具、地面时，是否采取机械通风等措施防止可燃气体在密闭空间或者半密闭空间内积聚。</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六项：“机械企业有下列情形之一的，应当判定为重大事故隐患：（六）使用可燃性有机溶剂清洗设备设施、工装器具、地面时，未采取放置可燃气体在周边密闭或者半密闭空间内积聚措施的。”</w:t>
            </w:r>
          </w:p>
          <w:p>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56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1118"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3"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2.查看使用可燃性有机溶剂清洗设备设施、工装器具、地面时，是否采取隔离、封堵等措施防止可燃气体逸散到周边密闭或者半密闭空间内。</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10</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企业使用非水性漆的调漆间、喷漆室的可燃气体检测报警装置或通风装置的设置情况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1.查看使用非水性漆的调漆间、喷漆室是否设置固定式可燃气体浓度监测报警。</w:t>
            </w:r>
          </w:p>
        </w:tc>
        <w:tc>
          <w:tcPr>
            <w:tcW w:w="60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七条第七项：“机械企业有下列情形之一的，应当判定为重大事故隐患：（七）使用非水性漆的调漆间、喷漆室未设置固定式可燃气体浓度检测报警装置或者通风装置的。”</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561" w:type="dxa"/>
            <w:vMerge w:val="restart"/>
            <w:tcBorders>
              <w:tl2br w:val="nil"/>
              <w:tr2bl w:val="nil"/>
            </w:tcBorders>
            <w:shd w:val="clear" w:color="auto" w:fill="auto"/>
            <w:tcMar>
              <w:top w:w="15" w:type="dxa"/>
              <w:left w:w="15" w:type="dxa"/>
              <w:right w:w="15" w:type="dxa"/>
            </w:tcMar>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right="0"/>
              <w:jc w:val="both"/>
              <w:textAlignment w:val="auto"/>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p>
        </w:tc>
        <w:tc>
          <w:tcPr>
            <w:tcW w:w="1118"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8"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2.查看使用非水性漆的调漆间、喷漆室是否设置通风设施。</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3"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3.查看使用非水性漆的调漆间、喷漆室的通风换气次数是否小于15次/小时。</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注：“换气次数”是指单位时间内室内空气的更换次数，即通风量与房间容积的比值。</w:t>
            </w:r>
          </w:p>
        </w:tc>
        <w:tc>
          <w:tcPr>
            <w:tcW w:w="60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442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356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1118"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1" w:hRule="atLeast"/>
          <w:jc w:val="center"/>
        </w:trPr>
        <w:tc>
          <w:tcPr>
            <w:tcW w:w="33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11</w:t>
            </w:r>
          </w:p>
        </w:tc>
        <w:tc>
          <w:tcPr>
            <w:tcW w:w="63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存在硫化氢、一氧化碳等中毒风险的有限空间作业情况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1.是否对有限空间进行辨识、建立安全管理台账，并且设置明显的安全警示标志</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查阅有限空间辨识台账、现场检查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1.下达《责令限期整改指令书》，责令限期改正；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1.《工贸企业重大事故隐患判定标准（应急管理部令第10号》第十三条第一项：“（一）未对有限空间进行辨识、建立安全管理台账，并且未设置明显的安全警示标志的。”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山东省安全生产条例》第三十五条第一款第一项：“生产经营单位进行爆破、吊装、悬挂、挖掘、动火、临时用电、危险装置设备试生产、有限空间、有毒有害、建筑物和构筑物拆除，以及临近油气管道、高压输电线路等危险作业，应当遵守下列规定：（一）对作业现场进行安全风险辨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3.《工贸企业有限空间作业安全规定》第六条：“工贸企业应当对有限空间进行辨识，建立有限空间管理台账，明确有限空间数量、位置以及危险因素等信息，并及时更新。”</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4.《工贸企业有限空间作业安全规定》第十一条：“工贸企业应当在有限空间出入口等醒目位置设置明显的安全警示标志，并在具备条件的场所设置安全风险告知牌。”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5.《应急管理部办公厅关于印发工贸企业有限空间重点监管目录的通知》（应急厅〔2023〕37号）：“一、冶金行业 1.工艺炉窑：使用煤气的均热炉、预热炉、热风炉、加热炉、混铁炉、连续退火炉、常化炉、干燥炉、回转窑、竖炉、烟气炉。2.煤气相关设备设施：有人孔管道，煤气柜、布袋除尘器、电捕焦油器、电除尘器。3.惰性气体相关设备设施：煤粉制备系统布袋收粉器、煤粉仓；使用氮（氩）气底吹的炼钢转炉、VD炉真空室、VOD炉真空室；炼钢厂设置有氮（氩）气阀门的地下井（坑）。4.公辅设备设施：煤气洗涤（冷凝）水处理池（井）、污水收集处理池（井、罐）。”“四、机械行业1.工艺设备：石灰式干式喷房漆雾收集系统。2.槽罐：电镀（氧化）槽、酸碱槽、电泳槽、浸漆槽。3.公辅设备设施：污水收集处理池（井、罐）。”</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山东省安全生产条例》第七十七条：“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工贸企业有限空间作业安全规定》第二十一条第二项：“违反本规定，有下列情形之一的，责令限期改正，对工贸企业处5万元以下的罚款，对其直接负责的主管人员和其他直接责任人员处1万元以下的罚款：（二）未对有限空间进行辨识，或者未建立有限空间管理台账的；……。”</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工贸企业有限空间作业安全规定》第十九条第一项：“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一）未按照规定设置明显的有限空间安全警示标志的；……。”</w:t>
            </w:r>
          </w:p>
        </w:tc>
        <w:tc>
          <w:tcPr>
            <w:tcW w:w="111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2"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2.有限空间作业前，是否进行有限空间作业审批</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查阅有限空间作业票、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作业方案</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1.下达《责令限期整改指令书》，责令限期改正；</w:t>
            </w:r>
          </w:p>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1.《工贸企业重大事故隐患判定标准（应急管理部令第10号》第十三条第二项：“（二）未落实有限空间作业审批，或者未执行“先通风、再检测、后作业”要求，或者作业现场未设置监护人员的。”</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山东省安全生产条例》第三十五条第三项：“生产经营单位进行爆破、吊装、悬挂、挖掘、动火、临时用电、危险装置设备试生产、有限空间、有毒有害、建筑物和构筑物拆除，以及临近油气管道、高压输电线路等危险作业，应当遵守下列规定：（三）按照规定开具危险作业票证，并对危险作业票证进行现场查验；……。”</w:t>
            </w:r>
          </w:p>
          <w:p>
            <w:pPr>
              <w:keepNext w:val="0"/>
              <w:keepLines w:val="0"/>
              <w:pageBreakBefore w:val="0"/>
              <w:widowControl/>
              <w:suppressLineNumbers w:val="0"/>
              <w:kinsoku/>
              <w:wordWrap/>
              <w:overflowPunct/>
              <w:topLinePunct w:val="0"/>
              <w:autoSpaceDE/>
              <w:autoSpaceDN/>
              <w:bidi w:val="0"/>
              <w:adjustRightInd/>
              <w:snapToGrid/>
              <w:spacing w:afterAutospacing="0"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工贸企业有限空间作业安全规定》第七条：“工贸企业应当根据有限空间作业安全风险大小，明确审批要求。对于存在硫化氢、一氧化碳、二氧化碳等中毒和窒息等风险的有限空间作业，应当由工贸企业主要负责人或者其书面委托的人员进行审批，委托进行审批的，相关责任仍由工贸企业主要负责人承担。未经工贸企业确定的作业审批人批准，不得实施有限空间作业。”</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山东省安全生产条例》第七十七条：“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工贸企业有限空间作业安全规定》第二十一条第三项：“违反本规定，有下列情形之一的，责令限期改正，对工贸企业处5万元以下的罚款，对其直接负责的主管人员和其他直接责任人员处1万元以下的罚款：（三）未落实有限空间作业审批，或者作业未执行“先通风、再检测、后作业”要求的；……。”</w:t>
            </w:r>
          </w:p>
        </w:tc>
        <w:tc>
          <w:tcPr>
            <w:tcW w:w="111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2"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3.有限空间作业前，是否进行通风和气体浓度检测，或者在有毒气体浓度检测不合格的情况下是否开展有限空间作业。</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查阅有限空间作业票、作业方案</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both"/>
              <w:textAlignment w:val="center"/>
              <w:rPr>
                <w:rStyle w:val="23"/>
                <w:rFonts w:ascii="仿宋_GB2312" w:hAnsi="仿宋_GB2312" w:eastAsia="仿宋_GB2312"/>
                <w:kern w:val="0"/>
                <w:sz w:val="20"/>
                <w:szCs w:val="20"/>
                <w:lang w:val="en-US" w:eastAsia="zh-CN" w:bidi="ar"/>
              </w:rPr>
            </w:pPr>
            <w:r>
              <w:rPr>
                <w:rStyle w:val="23"/>
                <w:rFonts w:ascii="仿宋_GB2312" w:hAnsi="仿宋_GB2312" w:eastAsia="仿宋_GB2312"/>
                <w:kern w:val="0"/>
                <w:sz w:val="20"/>
                <w:szCs w:val="20"/>
                <w:lang w:val="en-US" w:eastAsia="zh-CN" w:bidi="ar"/>
              </w:rPr>
              <w:t>1.《工贸企业重大事故隐患判定标准（应急管理部令第10号》第十三条第二项：“（二）未落实有限空间作业审批，或者未执行“先通风、再检测、后作业”要求，或者作业现场未设置监护人员的。”</w:t>
            </w:r>
          </w:p>
          <w:p>
            <w:pPr>
              <w:keepNext w:val="0"/>
              <w:keepLines w:val="0"/>
              <w:pageBreakBefore w:val="0"/>
              <w:widowControl/>
              <w:suppressLineNumbers w:val="0"/>
              <w:kinsoku/>
              <w:wordWrap/>
              <w:overflowPunct/>
              <w:topLinePunct w:val="0"/>
              <w:autoSpaceDE/>
              <w:autoSpaceDN/>
              <w:bidi w:val="0"/>
              <w:adjustRightInd/>
              <w:snapToGrid/>
              <w:spacing w:line="254" w:lineRule="exact"/>
              <w:jc w:val="both"/>
              <w:textAlignment w:val="center"/>
              <w:rPr>
                <w:rFonts w:hint="eastAsia" w:ascii="仿宋" w:hAnsi="仿宋" w:eastAsia="仿宋" w:cs="仿宋"/>
                <w:i w:val="0"/>
                <w:color w:val="000000"/>
                <w:kern w:val="0"/>
                <w:sz w:val="20"/>
                <w:szCs w:val="20"/>
                <w:u w:val="none"/>
              </w:rPr>
            </w:pPr>
            <w:r>
              <w:rPr>
                <w:rStyle w:val="23"/>
                <w:rFonts w:ascii="仿宋_GB2312" w:hAnsi="仿宋_GB2312" w:eastAsia="仿宋_GB2312"/>
                <w:kern w:val="0"/>
                <w:sz w:val="20"/>
                <w:szCs w:val="20"/>
                <w:lang w:val="en-US" w:eastAsia="zh-CN" w:bidi="ar"/>
              </w:rPr>
              <w:t>2.《工贸企业有限空间作业安全规定》第十四</w:t>
            </w:r>
            <w:r>
              <w:rPr>
                <w:rStyle w:val="23"/>
                <w:rFonts w:ascii="仿宋_GB2312" w:hAnsi="仿宋_GB2312" w:eastAsia="仿宋_GB2312"/>
                <w:spacing w:val="-3"/>
                <w:kern w:val="0"/>
                <w:sz w:val="20"/>
                <w:szCs w:val="20"/>
                <w:lang w:val="en-US" w:eastAsia="zh-CN" w:bidi="ar"/>
              </w:rPr>
              <w:t>条第一款：“有限空间作业应当严格遵守“先通风、再检测、后作业”要求。存在爆炸风险的，应当采取消除或者控制措施，相关电气设施设备、照明灯具、应急救援装备等应当符合防爆安全要求。”第十五条第三款：“作业过程中，工贸企业应当安排专人对作业区域持续进行通风和气体浓度检测。作业中断的，作业人员再次进入有限空间作业前，应当重新通风、气体检测合格后方可进入。”</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工贸企业有限空间作业安全规定》第二十一条第三、四项：“违反本规定，有下列情形之一的，责令限期改正，对工贸企业处5万元以下的罚款，对其直接负责的主管人员和其他直接责任人员处1万元以下的罚款：（三）未落实有限空间作业审批，或者作业未执行“先通风、再检测、后作业”要求的；（四）未按要求进行通风和气体检测的。”</w:t>
            </w:r>
          </w:p>
        </w:tc>
        <w:tc>
          <w:tcPr>
            <w:tcW w:w="111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3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center"/>
              <w:rPr>
                <w:rFonts w:hint="eastAsia" w:ascii="仿宋" w:hAnsi="仿宋" w:eastAsia="仿宋" w:cs="仿宋"/>
                <w:i w:val="0"/>
                <w:color w:val="000000"/>
                <w:kern w:val="0"/>
                <w:sz w:val="20"/>
                <w:szCs w:val="20"/>
                <w:u w:val="none"/>
              </w:rPr>
            </w:pPr>
          </w:p>
        </w:tc>
        <w:tc>
          <w:tcPr>
            <w:tcW w:w="63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 xml:space="preserve">4.有限空间作业现场是否设置专门的监护人员，或者监护人员是否进入有限空间参与有限空间作业，或者监护人员是否全程监护。 </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查阅有限空间作业票、作业方案</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1.下达《责令限期整改指令书》，责令限期改正；</w:t>
            </w:r>
          </w:p>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4"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1.《工贸企业重大事故隐患判定标准（应急管理部令第10号》第十三条第二项：“（二）未落实有限空间作业审批，或者未执行“先通风、再检测、后作业”要求，或者作业现场未设置监护人员的。”</w:t>
            </w:r>
          </w:p>
          <w:p>
            <w:pPr>
              <w:keepNext w:val="0"/>
              <w:keepLines w:val="0"/>
              <w:pageBreakBefore w:val="0"/>
              <w:widowControl/>
              <w:suppressLineNumbers w:val="0"/>
              <w:kinsoku/>
              <w:wordWrap/>
              <w:overflowPunct/>
              <w:topLinePunct w:val="0"/>
              <w:autoSpaceDE/>
              <w:autoSpaceDN/>
              <w:bidi w:val="0"/>
              <w:adjustRightInd/>
              <w:snapToGrid/>
              <w:spacing w:line="254"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2.《山东省安全生产条例》第三十五条第一款第七项：“生产经营单位进行爆破、吊装、悬挂、挖掘、动火、临时用电、危险装置设备试生产、有限空间、有毒有害、建筑物和构筑物拆除，以及临近油气管道、高压输电线路等危险作业，应当遵守下列规定：（七）指定安全生产管理人员进行现场安全检查和监督，确认安全防范措施落实情况；……。”</w:t>
            </w:r>
          </w:p>
          <w:p>
            <w:pPr>
              <w:keepNext w:val="0"/>
              <w:keepLines w:val="0"/>
              <w:pageBreakBefore w:val="0"/>
              <w:widowControl/>
              <w:suppressLineNumbers w:val="0"/>
              <w:kinsoku/>
              <w:wordWrap/>
              <w:overflowPunct/>
              <w:topLinePunct w:val="0"/>
              <w:autoSpaceDE/>
              <w:autoSpaceDN/>
              <w:bidi w:val="0"/>
              <w:adjustRightInd/>
              <w:snapToGrid/>
              <w:spacing w:line="254"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3.《工贸企业有限空间作业安全规定》第五</w:t>
            </w:r>
            <w:r>
              <w:rPr>
                <w:rFonts w:hint="eastAsia" w:ascii="仿宋_GB2312" w:hAnsi="仿宋_GB2312" w:eastAsia="仿宋_GB2312" w:cs="仿宋"/>
                <w:i w:val="0"/>
                <w:color w:val="000000"/>
                <w:spacing w:val="-3"/>
                <w:kern w:val="0"/>
                <w:sz w:val="20"/>
                <w:szCs w:val="20"/>
                <w:u w:val="none"/>
                <w:lang w:val="en-US" w:eastAsia="zh-CN" w:bidi="ar"/>
              </w:rPr>
              <w:t>条第一款：“工贸企业应当实行有限空间作业监护制，明确专职或者兼职的监护人员，负责监督有限空间作业安全措施的落实。”第十五条：“监护人员应当全程进行监护，与作业人员保持实时联络，不得离开作业现场或者进入有限空间参与作业。”</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山东省安全生产条例》第七十七条：“生产经营单位进行危险作业，违反本条例第三十五条第一款规定的，责令限期改正，处三万元以上十万元以下的罚款；逾期未改正的，责令停产停业整顿，并处十万元以上二十万元以下的罚款，对直接负责的主管人员和其他直接责任人员处二万元以上五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工贸企业有限空间作业安全规定》第二十一条第一项：“违反本规定，有下列情形之一的，责令限期改正，对工贸企业处5万元以下的罚款，对其直接负责的主管人员和其他直接责任人员处1万元以下的罚款：（一）未配备监护人员，或者监护人员未按规定履行岗位职责的；……。”</w:t>
            </w:r>
          </w:p>
        </w:tc>
        <w:tc>
          <w:tcPr>
            <w:tcW w:w="111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5" w:hRule="atLeast"/>
          <w:jc w:val="center"/>
        </w:trPr>
        <w:tc>
          <w:tcPr>
            <w:tcW w:w="33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12</w:t>
            </w:r>
          </w:p>
        </w:tc>
        <w:tc>
          <w:tcPr>
            <w:tcW w:w="637"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直接关系生产安全的监控、报警、防护等设施、设备、装置运行、使用情况</w:t>
            </w:r>
          </w:p>
        </w:tc>
        <w:tc>
          <w:tcPr>
            <w:tcW w:w="2375"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由于检测、维护、保养不到位，或者通过关闭、破坏、篡改等方式，造成直接关系生产安全的监控、报警、防护等设施、设备、装置，处于未通电、未启用、未联锁、数据失真等不能正常运行、使用的状态，均判定为重大事故隐患。</w:t>
            </w:r>
          </w:p>
        </w:tc>
        <w:tc>
          <w:tcPr>
            <w:tcW w:w="60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现场检查</w:t>
            </w:r>
          </w:p>
        </w:tc>
        <w:tc>
          <w:tcPr>
            <w:tcW w:w="83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否□</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不涉及□</w:t>
            </w:r>
          </w:p>
        </w:tc>
        <w:tc>
          <w:tcPr>
            <w:tcW w:w="102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1.下达《责令限期整改指令书》和《现场处理措施决定书》，责令其立即停止作业，排除事故隐患；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2.依法立案处罚。</w:t>
            </w:r>
          </w:p>
        </w:tc>
        <w:tc>
          <w:tcPr>
            <w:tcW w:w="442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
                <w:i w:val="0"/>
                <w:color w:val="000000"/>
                <w:kern w:val="0"/>
                <w:sz w:val="20"/>
                <w:szCs w:val="20"/>
                <w:u w:val="none"/>
                <w:lang w:val="en-US" w:eastAsia="zh-CN" w:bidi="ar"/>
              </w:rPr>
            </w:pPr>
            <w:r>
              <w:rPr>
                <w:rFonts w:hint="eastAsia" w:ascii="仿宋_GB2312" w:hAnsi="仿宋_GB2312" w:eastAsia="仿宋_GB2312" w:cs="仿宋"/>
                <w:i w:val="0"/>
                <w:color w:val="000000"/>
                <w:kern w:val="0"/>
                <w:sz w:val="20"/>
                <w:szCs w:val="20"/>
                <w:u w:val="none"/>
                <w:lang w:val="en-US" w:eastAsia="zh-CN" w:bidi="ar"/>
              </w:rPr>
              <w:t>1.《工贸企业重大事故隐患判定标准（应急管理部令第10号》第十四条：“本标准所列情形中直接关系生产安全的监控、报警、防护等设施、设备、装置，应当保证正常运行、使用，失效或者无效均判定为重大事故隐患。”</w:t>
            </w:r>
          </w:p>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2.《安全生产法》第三十六条第一、二、三款：“安全设备的设计、制造、安装、使用、检测、维修、改造和报废，应当符合国家标准或者行业标准。生产经营单位必须对安全设备进行经常性维护、保养，并定期检测，保证正常运转。维护、保养、检测应当作好记录，并由有关人员签字。生产经营单位不得关闭、破坏直接关系生产安全的监控、报警、防护、救生设备、设施，或者篡改、隐瞒、销毁其相关数据、信息。”</w:t>
            </w:r>
          </w:p>
        </w:tc>
        <w:tc>
          <w:tcPr>
            <w:tcW w:w="356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i w:val="0"/>
                <w:color w:val="000000"/>
                <w:kern w:val="0"/>
                <w:sz w:val="20"/>
                <w:szCs w:val="20"/>
                <w:u w:val="none"/>
              </w:rPr>
            </w:pPr>
            <w:r>
              <w:rPr>
                <w:rFonts w:hint="eastAsia" w:ascii="仿宋_GB2312" w:hAnsi="仿宋_GB2312" w:eastAsia="仿宋_GB2312" w:cs="仿宋"/>
                <w:i w:val="0"/>
                <w:color w:val="000000"/>
                <w:kern w:val="0"/>
                <w:sz w:val="20"/>
                <w:szCs w:val="20"/>
                <w:u w:val="none"/>
                <w:lang w:val="en-US" w:eastAsia="zh-CN" w:bidi="ar"/>
              </w:rPr>
              <w:t>《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c>
          <w:tcPr>
            <w:tcW w:w="1118"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both"/>
              <w:rPr>
                <w:rFonts w:hint="eastAsia" w:ascii="仿宋" w:hAnsi="仿宋" w:eastAsia="仿宋" w:cs="仿宋"/>
                <w:i w:val="0"/>
                <w:color w:val="000000"/>
                <w:kern w:val="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4915" w:type="dxa"/>
            <w:gridSpan w:val="9"/>
            <w:tcBorders>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黑体" w:hAnsi="宋体" w:eastAsia="黑体" w:cs="黑体"/>
                <w:i w:val="0"/>
                <w:color w:val="000000"/>
                <w:kern w:val="0"/>
                <w:sz w:val="20"/>
                <w:szCs w:val="20"/>
                <w:u w:val="none"/>
              </w:rPr>
            </w:pPr>
            <w:r>
              <w:rPr>
                <w:rStyle w:val="26"/>
                <w:kern w:val="0"/>
                <w:sz w:val="20"/>
                <w:szCs w:val="20"/>
                <w:lang w:val="en-US" w:eastAsia="zh-CN" w:bidi="ar"/>
              </w:rPr>
              <w:t>备注：</w:t>
            </w:r>
            <w:r>
              <w:rPr>
                <w:rFonts w:hint="eastAsia" w:ascii="仿宋_GB2312" w:hAnsi="仿宋_GB2312" w:eastAsia="仿宋_GB2312" w:cs="仿宋"/>
                <w:i w:val="0"/>
                <w:color w:val="000000"/>
                <w:kern w:val="0"/>
                <w:sz w:val="20"/>
                <w:szCs w:val="20"/>
                <w:u w:val="none"/>
                <w:lang w:val="en-US" w:eastAsia="zh-CN" w:bidi="ar"/>
              </w:rPr>
              <w:t>根据《冶金企业和有色金属企业安全生产规定》，所称的金属冶炼是指冶金企业和有色金属企业从事达到国家规定规模（体量）的高温熔融金属及熔渣（以下统称高温熔融金属）的生产活动。本清单中引用的《冶金企业和有色金属企业安全生产规定》处罚事项待国家高温熔融金属的规模（体量）规定出台后实施，相关检查依据可参照执行。</w:t>
            </w:r>
          </w:p>
        </w:tc>
      </w:tr>
    </w:tbl>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附件2</w:t>
      </w:r>
    </w:p>
    <w:p>
      <w:pPr>
        <w:pStyle w:val="11"/>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eastAsia="方正小标宋简体"/>
          <w:sz w:val="44"/>
          <w:szCs w:val="44"/>
          <w:lang w:val="en-US" w:eastAsia="zh-CN"/>
        </w:rPr>
      </w:pPr>
      <w:r>
        <w:rPr>
          <w:rFonts w:hint="eastAsia" w:eastAsia="方正小标宋简体"/>
          <w:sz w:val="44"/>
          <w:szCs w:val="44"/>
          <w:lang w:val="en-US" w:eastAsia="zh-CN"/>
        </w:rPr>
        <w:t>化工和危险化学品企业重大事故隐患重点排查事项清单（参考模板）</w:t>
      </w:r>
    </w:p>
    <w:tbl>
      <w:tblPr>
        <w:tblStyle w:val="13"/>
        <w:tblW w:w="14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307"/>
        <w:gridCol w:w="562"/>
        <w:gridCol w:w="1034"/>
        <w:gridCol w:w="981"/>
        <w:gridCol w:w="880"/>
        <w:gridCol w:w="2120"/>
        <w:gridCol w:w="1667"/>
        <w:gridCol w:w="434"/>
        <w:gridCol w:w="811"/>
        <w:gridCol w:w="646"/>
        <w:gridCol w:w="1080"/>
        <w:gridCol w:w="3498"/>
        <w:gridCol w:w="8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54" w:hRule="atLeast"/>
          <w:tblHeader/>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序号</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排查事项名称</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kern w:val="0"/>
                <w:sz w:val="17"/>
                <w:szCs w:val="17"/>
                <w:u w:val="none"/>
                <w:lang w:val="en-US" w:eastAsia="zh-CN" w:bidi="ar"/>
              </w:rPr>
            </w:pPr>
            <w:r>
              <w:rPr>
                <w:rFonts w:hint="eastAsia" w:ascii="仿宋_GB2312" w:hAnsi="仿宋_GB2312" w:eastAsia="黑体" w:cs="宋体"/>
                <w:b w:val="0"/>
                <w:bCs/>
                <w:i w:val="0"/>
                <w:color w:val="auto"/>
                <w:kern w:val="0"/>
                <w:sz w:val="17"/>
                <w:szCs w:val="17"/>
                <w:u w:val="none"/>
                <w:lang w:val="en-US" w:eastAsia="zh-CN" w:bidi="ar"/>
              </w:rPr>
              <w:t>涉及车间/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部门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涉及工艺/装置/危化品</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kern w:val="0"/>
                <w:sz w:val="17"/>
                <w:szCs w:val="17"/>
                <w:u w:val="none"/>
                <w:lang w:val="en-US" w:eastAsia="zh-CN" w:bidi="ar"/>
              </w:rPr>
            </w:pPr>
            <w:r>
              <w:rPr>
                <w:rFonts w:hint="eastAsia" w:ascii="仿宋_GB2312" w:hAnsi="仿宋_GB2312" w:eastAsia="黑体" w:cs="宋体"/>
                <w:b w:val="0"/>
                <w:bCs/>
                <w:i w:val="0"/>
                <w:color w:val="auto"/>
                <w:kern w:val="0"/>
                <w:sz w:val="17"/>
                <w:szCs w:val="17"/>
                <w:u w:val="none"/>
                <w:lang w:val="en-US" w:eastAsia="zh-CN" w:bidi="ar"/>
              </w:rPr>
              <w:t>涉及岗位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人员</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排查内容</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排查方式</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排查人员</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排查结果</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责任人员（车间主任、车间安全管理员）</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处理措施</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排查依据</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黑体" w:cs="宋体"/>
                <w:b w:val="0"/>
                <w:bCs/>
                <w:i w:val="0"/>
                <w:color w:val="auto"/>
                <w:sz w:val="17"/>
                <w:szCs w:val="17"/>
                <w:u w:val="none"/>
              </w:rPr>
            </w:pPr>
            <w:r>
              <w:rPr>
                <w:rFonts w:hint="eastAsia" w:ascii="仿宋_GB2312" w:hAnsi="仿宋_GB2312" w:eastAsia="黑体" w:cs="宋体"/>
                <w:b w:val="0"/>
                <w:bCs/>
                <w:i w:val="0"/>
                <w:color w:val="auto"/>
                <w:kern w:val="0"/>
                <w:sz w:val="17"/>
                <w:szCs w:val="17"/>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3"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企业主要负责人和安全生产管理人员按照规定考核合格情况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主要负责人（法定代表人/实际控制人/其他主要决策人）</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主要负责人（***）</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1.在任职6个月后是否取得安全培训考核合格证；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2.取得培训合格证后是否按要求参加再培训的；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3.在任职6个月内已经参加培训、考核成绩合格但未取得安全生产合格证书的视同为考核合格。</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1.查阅公司主要负责人及专职安全管理人员的任命文件。</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2.查看登记台账和人员证件，确认人证合一，查看证件有效期和复审期，确保证件使用有效合法。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3.已经参加培训但未取得证书的，查阅培训机构出具的参加培训且考核合格的证明材料。</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4.登录应急管理部-特种作业操作证及安全生产知识和管理能力考核合格信息查询平台，输入证件信息进行复核。</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1.未依法经考核合格取得合格证书的或证书到期未复审的，暂停其工作；安全部联系有资质的培训机构组织培训，培训合格后方可继续工作。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2.安全部定期检查证件有效期，并在证书到期前3个月联系有资质的培训机构组织人员换证。</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1.《化工和危险化学品生产经营单位重大生产安全事故隐患判定标准（试行）》（安监总管三〔2017〕121号）：“依据有关法律法规、部门规章和国家标准，以下情形应当判定为重大事故隐患：第一条 公司主要负责人和安全生产管理人员未依法经考核合格。</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山东省安全生产条例》第十五条：“生产经营单位的主要负责人和安全生产管理人员，应当具备与所从事的生产经营活动相适应的安全生产知识和管理能力；高危生产经营单位的主要负责人和安全生产管理人员，应当由主管的负有安全生产监督管理职责的部门对其考核合格。考核不得收费。”第七十五条第五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五)高危生产经营单位的主要负责人、分管安全生产的负责人或者安全总监、安全生产管理人员未按照规定经考核合格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生产经营单位安全培训规定》第二十四条：“煤矿、非煤矿山、危险化学品、烟花爆竹、金属冶炼等生产经营单位主要负责人和安全生产管理人员，自任职之日起6个月内，必须经安全生产监管监察部门对其安全生产知识和管理能力考核合格。”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Style w:val="28"/>
                <w:rFonts w:ascii="仿宋_GB2312" w:hAnsi="仿宋_GB2312" w:eastAsia="仿宋_GB2312"/>
                <w:b w:val="0"/>
                <w:bCs/>
                <w:color w:val="auto"/>
                <w:sz w:val="17"/>
                <w:szCs w:val="17"/>
                <w:lang w:val="en-US" w:eastAsia="zh-CN" w:bidi="ar"/>
              </w:rPr>
              <w:t>分管副总/</w:t>
            </w:r>
            <w:r>
              <w:rPr>
                <w:rFonts w:hint="eastAsia" w:ascii="仿宋_GB2312" w:hAnsi="仿宋_GB2312" w:eastAsia="仿宋_GB2312" w:cs="宋体"/>
                <w:b w:val="0"/>
                <w:bCs/>
                <w:i w:val="0"/>
                <w:color w:val="auto"/>
                <w:kern w:val="0"/>
                <w:sz w:val="17"/>
                <w:szCs w:val="17"/>
                <w:u w:val="none"/>
                <w:lang w:val="en-US" w:eastAsia="zh-CN" w:bidi="ar"/>
              </w:rPr>
              <w:t>安全总监</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Style w:val="28"/>
                <w:rFonts w:ascii="仿宋_GB2312" w:hAnsi="仿宋_GB2312" w:eastAsia="仿宋_GB2312"/>
                <w:b w:val="0"/>
                <w:bCs/>
                <w:color w:val="auto"/>
                <w:sz w:val="17"/>
                <w:szCs w:val="17"/>
                <w:lang w:val="en-US" w:eastAsia="zh-CN" w:bidi="ar"/>
              </w:rPr>
              <w:t>分管副总/</w:t>
            </w:r>
            <w:r>
              <w:rPr>
                <w:rFonts w:hint="eastAsia" w:ascii="仿宋_GB2312" w:hAnsi="仿宋_GB2312" w:eastAsia="仿宋_GB2312" w:cs="宋体"/>
                <w:b w:val="0"/>
                <w:bCs/>
                <w:i w:val="0"/>
                <w:color w:val="auto"/>
                <w:kern w:val="0"/>
                <w:sz w:val="17"/>
                <w:szCs w:val="17"/>
                <w:u w:val="none"/>
                <w:lang w:val="en-US" w:eastAsia="zh-CN" w:bidi="ar"/>
              </w:rPr>
              <w:t>安全总监（***）</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安全部(安全管理机构)</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安全管理人员*人（***、***、**......）</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0"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特种作业人员持证上岗情况</w:t>
            </w:r>
          </w:p>
        </w:tc>
        <w:tc>
          <w:tcPr>
            <w:tcW w:w="10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烷基化</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烷基化工艺操作人员*人（具体人员名单）</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1.特种作业人员是否经过培训考核并取得特种作业操作证；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2.特种作业人员已经取证但是否超期未进行复审。</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对照《特种作业人员安全技术培训考核管理规定》（国家安全监管总局令第30号）附件《特种作业目录》，结合各部室/车间具体岗位，对企业可能涉及的电工作业、焊接与热切割作业、高处作业、危险化学品安全作业等5大类26个作业类型逐一梳理，确保特种作业岗位人员均持证上岗。</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2.查看特种作业人员登记台账，结合现场及登记台账逐一检查特种作业人员特种作业操作证件，确认人证一致，查看登记证件有效期和复审期，确保证件使用有效合法。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3.登录应急管理部-持种作业操作证及安全生产知识和管理能力考核合格信息查询平台，输入证件信息进行复核。</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4.认真落实省应急厅特种作业人员培训考核要求，组织本企业和外包施工单位的特种作业人员登录安全生产培训考试系统进行登记、查询，杜绝假证问题。</w:t>
            </w: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1.企业特种作业人员未依法经考核合格取得合格证书的或证书到期未复审的，立即责令停止作业；安全部联系有资质的培训机构组织培训，培训合格取得证书后方可作业。</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2.安全部负责特种作业人员的培训取证及换证工作，定期检查证件有效情况，并在证书到期前3个月联系资质认定机构组织人员换证。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3.对在系统查到的假证，及时报告***县（市、区）应急管理局或公安部门。</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二、特种作业人员未持证上岗。”</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三十条第一款：“生产经营单位的特种作业人员必须按照国家有关规定经专门的安全作业培训，取得相应资格，方可上岗作业。”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特种作业人员安全技术培训考核管理规定》第三十七条：“生产经营单位不得印制、伪造、倒卖特种作业操作证，或者使用非法印制、伪造、倒卖的特种作业操作证。特种作业人员不得伪造、涂改、转借、转让、冒用特种作业操作证或者使用伪造的特种作业操作证。第四十条：“生产经营单位非法印制、伪造、倒卖特种作业操作证，或者使用非法印制、伪造、倒卖的特种作业操作证的，给予警告，并处1万元以上3万元以下的罚款；构成犯罪的，依法追究刑事责任。”第四十一条：“特种作业人员伪造、涂改特种作业操作证或者使用伪造的特种作业操作证的，给予警告，并处1000元以上5000元以下的罚款。特种作业人员转借、转让、冒用特种作业操作证的，给予警告，并处2000元以上1万元以下的罚款。”</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安全生产培训管理办法》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 xml:space="preserve">  </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设备顶部检维修作业（高处作业）人员*人（具体人员名单）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2"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合成氨/氯化/硝化/加氢</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设备顶部检维修作业（高处作业）/</w:t>
            </w:r>
            <w:r>
              <w:rPr>
                <w:rStyle w:val="28"/>
                <w:rFonts w:ascii="仿宋_GB2312" w:hAnsi="仿宋_GB2312" w:eastAsia="仿宋_GB2312"/>
                <w:b w:val="0"/>
                <w:bCs/>
                <w:color w:val="auto"/>
                <w:sz w:val="17"/>
                <w:szCs w:val="17"/>
                <w:lang w:val="en-US" w:eastAsia="zh-CN" w:bidi="ar"/>
              </w:rPr>
              <w:t>制冷与空调作业</w:t>
            </w:r>
            <w:r>
              <w:rPr>
                <w:rFonts w:hint="eastAsia" w:ascii="仿宋_GB2312" w:hAnsi="仿宋_GB2312" w:eastAsia="仿宋_GB2312" w:cs="宋体"/>
                <w:b w:val="0"/>
                <w:bCs/>
                <w:i w:val="0"/>
                <w:color w:val="auto"/>
                <w:kern w:val="0"/>
                <w:sz w:val="17"/>
                <w:szCs w:val="17"/>
                <w:u w:val="none"/>
                <w:lang w:val="en-US" w:eastAsia="zh-CN" w:bidi="ar"/>
              </w:rPr>
              <w:t>人员*人（具体人员名单）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高压电工作业*人（具体人员名单）；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低压电工作业*人（具体人员名单）；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防爆电气作业*人（具体人员名单）；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焊接与热切割作业人员*人（具体人员名单）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5"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化工自动化控制仪表安装（维修、维护）作业*人（具体人员名单）；</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3"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其他车间</w:t>
            </w:r>
          </w:p>
        </w:tc>
        <w:tc>
          <w:tcPr>
            <w:tcW w:w="186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如有涉及光气及光气化工艺作业、氯碱电解工艺作业、氯化工艺作业、硝化工艺作业、合成氨工艺作业、裂解（裂化）工艺作业、氟化工艺作业、加氢工艺作业、重氮化工艺作业、氧化工艺作业、过氧化工艺作业、胺基化工艺作业、磺化工艺作业、聚合工艺作业等特种作业的，请参照上述模板逐一梳理。</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涉及“两重点一重大”的生产装置、储存设施外部安全防护距离符合国家标准要求情况</w:t>
            </w:r>
          </w:p>
        </w:tc>
        <w:tc>
          <w:tcPr>
            <w:tcW w:w="1034"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异丁烯储罐区（重大危险源）</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1.重大危险源（异丁烯储罐区）与东侧***公司防火间距＜120米；与东侧***村庄防火间距＜300米；与南侧***公司防火间距＜120米；与南侧***住宅小区防火间距＜300米；与西侧***车间防火间距＜120米；与北侧***村庄防火间距＜300米；</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2.涉及“两重点一重大”的生产装置与东侧***公司防火间距＜12米；与东侧***村庄防火间距＜50米；与南侧***公司防火间距＜12米；与南侧***住宅小区防火间距＜50米；与西侧***车间防火间距＜12米；与北侧***村庄防火间距＜50米；</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3.涉及危险化学品的储存装置（储罐区）与东侧***公司防火间距＜20米；与东侧***村庄防火间距＜25米；与南侧***公司防火间距＜20米；与南侧***住宅小区防火间距＜25米；与西侧***车间防火间距＜20米；与北侧***村庄防火间距＜25米；</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4.涉及“两重点一重大”的生产装置、储存设施与周边***村庄、***住宅小区、***村庄、***村庄等一类防护目标个人可接受风险值处于3×10-6次/年以外，与***公司、***公司、***公司等三类防护目标处于3×10-5次/年以外；</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sz w:val="17"/>
                <w:szCs w:val="17"/>
                <w:u w:val="none"/>
              </w:rPr>
            </w:pPr>
            <w:r>
              <w:rPr>
                <w:rStyle w:val="29"/>
                <w:rFonts w:ascii="仿宋_GB2312" w:hAnsi="仿宋_GB2312" w:eastAsia="仿宋_GB2312"/>
                <w:b w:val="0"/>
                <w:bCs/>
                <w:color w:val="auto"/>
                <w:sz w:val="17"/>
                <w:szCs w:val="17"/>
                <w:lang w:val="en-US" w:eastAsia="zh-CN" w:bidi="ar"/>
              </w:rPr>
              <w:t>5.经评估认定个人和社会可接受风险曲线进入不可接受区内的</w:t>
            </w:r>
            <w:r>
              <w:rPr>
                <w:rStyle w:val="30"/>
                <w:rFonts w:ascii="仿宋_GB2312" w:hAnsi="仿宋_GB2312" w:eastAsia="仿宋_GB2312"/>
                <w:b w:val="0"/>
                <w:bCs/>
                <w:color w:val="auto"/>
                <w:sz w:val="17"/>
                <w:szCs w:val="17"/>
                <w:lang w:val="en-US" w:eastAsia="zh-CN" w:bidi="ar"/>
              </w:rPr>
              <w:t>或</w:t>
            </w:r>
            <w:r>
              <w:rPr>
                <w:rStyle w:val="29"/>
                <w:rFonts w:ascii="仿宋_GB2312" w:hAnsi="仿宋_GB2312" w:eastAsia="仿宋_GB2312"/>
                <w:b w:val="0"/>
                <w:bCs/>
                <w:color w:val="auto"/>
                <w:sz w:val="17"/>
                <w:szCs w:val="17"/>
                <w:lang w:val="en-US" w:eastAsia="zh-CN" w:bidi="ar"/>
              </w:rPr>
              <w:t>进入尽可能降低区内的。</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对照《关于公布首批重点监管的危险化学品名录的通知》《关于公布第二批重点监管危险化学品名录的通知》《关于公布首批重点监管的危险化工工艺目录的通知》《危险化学品重大危险源监督管理暂行规定》等，排查涉及“两重点一重大”的生产装置和储存设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2.查阅企业涉及“两重点一重大”的生产装置、储存设施的设计资料，查看生产装置与储存设施与外部的安全防护距离。</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3.查阅安全现状评价报告，检查报告中外部防护距离符合情况。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4.查阅风险外溢评估报告，检查可接受风险值情况。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5.结合相关报告及测量仪器进行现场检查核对。</w:t>
            </w: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1.涉及“两重点一重大”的生产装置、储存设施外部安全防护距离低于国家标准要求时，对不符合装置进行拆除或重新设计改造，使其满足距离要求。</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降低涉及“两重点一重大”的生产装置、储存设施的主要参数（如储罐体积、温度、压力、管径等），或进行工艺改进使用危险性低的化学品或生产工艺，经有资质的评估单位重新进行风险外溢评估，使其个人风险值与社会风险值处于可接受范围内。</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1.《化工和危险化学品生产经营单位重大生产安全事故隐患判定标准（试行）》（安监总管三〔2017〕121号）：“依据有关法律法规、部门规章和国家标准，以下情形应当判定为重大事故隐患：第三条 涉及“两重点一重大”的生产装置、储存设施外部安全防护距离不符合国家标准要求。</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 xml:space="preserve">2.《危险化学品生产企业安全生产许可证实施办法》第九条第一款第五项：“企业的厂房、作业场所、储存设施和安全设施、设备、工艺应当符合下列要求：（五）危险化学品生产装置和储存设施之间及其与建（构）筑物之间的距离符合有关标准规范的规定。 ” 第四十三条：“企业取得安全生产许可证后发现其不具备本办法规定的安全生产条件的，依法暂扣其安全生产许可证1个月以上6个月以下；暂扣期满仍不具备本办法规定的安全生产条件的，依法吊销其安全生产许可证。”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3.《危险化学品生产、储存装置个人可接受风险标准和社会可接受风险标准（试行）》（国家安全监管总局第13号公告）。</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4.《危险化学品生产装置和储存设施风险基准》（GB36894-2018）。</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5.《危险化学品生产装置和储存设施外部安全防护距离确定方法》（GB/T37243-2019）。</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6.《建筑设计防火规范（2018版）》（GB50016）。</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7.《建筑防火通用规范》（GB55037-2022）。</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8.《石油化工企业设计防火标准（2018版）》（GB50160）。</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30"/>
                <w:rFonts w:ascii="仿宋_GB2312" w:hAnsi="仿宋_GB2312" w:eastAsia="仿宋_GB2312"/>
                <w:b w:val="0"/>
                <w:bCs/>
                <w:color w:val="auto"/>
                <w:sz w:val="17"/>
                <w:szCs w:val="17"/>
                <w:lang w:val="en-US" w:eastAsia="zh-CN" w:bidi="ar"/>
              </w:rPr>
            </w:pPr>
            <w:r>
              <w:rPr>
                <w:rStyle w:val="30"/>
                <w:rFonts w:ascii="仿宋_GB2312" w:hAnsi="仿宋_GB2312" w:eastAsia="仿宋_GB2312"/>
                <w:b w:val="0"/>
                <w:bCs/>
                <w:color w:val="auto"/>
                <w:sz w:val="17"/>
                <w:szCs w:val="17"/>
                <w:lang w:val="en-US" w:eastAsia="zh-CN" w:bidi="ar"/>
              </w:rPr>
              <w:t>9.《精细化工企业工程设计防火标准》（GB51283-2020）。</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30"/>
                <w:rFonts w:ascii="仿宋_GB2312" w:hAnsi="仿宋_GB2312" w:eastAsia="仿宋_GB2312"/>
                <w:b w:val="0"/>
                <w:bCs/>
                <w:color w:val="auto"/>
                <w:sz w:val="17"/>
                <w:szCs w:val="17"/>
                <w:lang w:val="en-US" w:eastAsia="zh-CN" w:bidi="ar"/>
              </w:rPr>
              <w:t>10.《煤化工工程设计防火标准》（GB51428-2021）。</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原料罐区（涉及重点监管危险化学品甲苯、甲醇、苯酚、三氯化磷的储存装置）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烷基化生产装置（涉及危险工艺烷基化和重点管控的危险化学品）</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酯化生产装置（涉及重点监管危险化学品甲苯、甲醇、三氯化磷的生产装置）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酯交换生产装置（涉及重点监管危险化学品甲苯、甲醇的生产装置）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涉及重点监管危险化工工艺的装置自动化控制情况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烷基化生产装置（涉及危险工艺烷基化）</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1.涉及重点监管危险化工工艺的装置是否依据《重点监管的危险化工工艺目录》中要求实现自动化控制；</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2.装置的自动化控制系统是否实现紧急停车功能；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3.装置装备的自动化控制系统、紧急停车系统是否投入使用；</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8"/>
                <w:rFonts w:ascii="仿宋_GB2312" w:hAnsi="仿宋_GB2312" w:eastAsia="仿宋_GB2312"/>
                <w:b w:val="0"/>
                <w:bCs/>
                <w:color w:val="auto"/>
                <w:sz w:val="17"/>
                <w:szCs w:val="17"/>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4.装置装备的自动化控制系统、紧急停车系统现场调节阀、紧急切断阀是否投用或旁路阀是否打开，</w:t>
            </w:r>
            <w:r>
              <w:rPr>
                <w:rStyle w:val="28"/>
                <w:rFonts w:ascii="仿宋_GB2312" w:hAnsi="仿宋_GB2312" w:eastAsia="仿宋_GB2312"/>
                <w:b w:val="0"/>
                <w:bCs/>
                <w:color w:val="auto"/>
                <w:sz w:val="17"/>
                <w:szCs w:val="17"/>
                <w:lang w:val="en-US" w:eastAsia="zh-CN" w:bidi="ar"/>
              </w:rPr>
              <w:t>重点查看仪表气源可靠性；</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5.装置装备的自动化控制系统、紧急停车系统是否有关联锁长时间切除（超过3个月以上，设备大检修期间及特殊原因除外）。</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1.对照《关于公布首批重点监管的危险化工工艺目录的通知》《关于公布第二批重点监管危险化工工艺目录的通知》等文件排查企业内涉及重点监管化工工艺的装置。</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2.查阅设计文件，检查涉及烷基化生产装置是否实现自动化控制和紧急停车功能。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29"/>
                <w:rFonts w:ascii="仿宋_GB2312" w:hAnsi="仿宋_GB2312" w:eastAsia="仿宋_GB2312"/>
                <w:b w:val="0"/>
                <w:bCs/>
                <w:color w:val="auto"/>
                <w:sz w:val="17"/>
                <w:szCs w:val="17"/>
                <w:lang w:val="en-US" w:eastAsia="zh-CN" w:bidi="ar"/>
              </w:rPr>
              <w:t>3.现场检查自动化控制系统与紧急停车系统的投用情况；检查现场调节阀、紧急切断阀是否正常投用，</w:t>
            </w:r>
            <w:r>
              <w:rPr>
                <w:rStyle w:val="30"/>
                <w:rFonts w:ascii="仿宋_GB2312" w:hAnsi="仿宋_GB2312" w:eastAsia="仿宋_GB2312"/>
                <w:b w:val="0"/>
                <w:bCs/>
                <w:color w:val="auto"/>
                <w:sz w:val="17"/>
                <w:szCs w:val="17"/>
                <w:lang w:val="en-US" w:eastAsia="zh-CN" w:bidi="ar"/>
              </w:rPr>
              <w:t>仪表气源压力是否正常；</w:t>
            </w:r>
            <w:r>
              <w:rPr>
                <w:rStyle w:val="29"/>
                <w:rFonts w:ascii="仿宋_GB2312" w:hAnsi="仿宋_GB2312" w:eastAsia="仿宋_GB2312"/>
                <w:b w:val="0"/>
                <w:bCs/>
                <w:color w:val="auto"/>
                <w:sz w:val="17"/>
                <w:szCs w:val="17"/>
                <w:lang w:val="en-US" w:eastAsia="zh-CN" w:bidi="ar"/>
              </w:rPr>
              <w:t>检查旁路阀是否打开。</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对不符合的生产装置进行安全停车，联系有资质的单位进行设计改造，改造验收通过后组织开车。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2.未正常投用自动化控制系统与紧急停车系统的，按程序安全投用。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3.自动化控制系统、紧急停车系统现场调节阀、紧急切断阀安全投用，旁路阀调整至关闭状态。</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1.《化工和危险化学品生产经营单位重大生产安全事故隐患判定标准（试行）》（安监总管三〔2017〕121号）：“依据有关法律法规、部门规章和国家标准，以下情形应当判定为重大事故隐患：第四条 涉及重点监管危险化工工艺的装置未实现自动化控制，系统未实现紧急停车功能，装备的自动化控制系统、紧急停车系统未投入使用。”</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危险化学品生产企业安全生产许可证实施办法》第九条第一款第三项：“企业的厂房、作业场所、储存设施和安全设施、设备、工艺应当符合下列要求：（三）涉及危险化工工艺、重点监管危险化学品的装置装设自动化控制系统；涉及危险化工工艺的大型化工装置装设紧急停车系统；”。第四十三条：“企业取得安全生产许可证后发现其不具备本办法规定的安全生产条件的，依法暂扣其安全生产许可证1个月以上6个月以下；暂扣期满仍不具备本办法规定的安全生产条件的，依法吊销其安全生产许可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31"/>
                <w:rFonts w:ascii="仿宋_GB2312" w:hAnsi="仿宋_GB2312" w:eastAsia="仿宋_GB2312"/>
                <w:b w:val="0"/>
                <w:bCs/>
                <w:color w:val="auto"/>
                <w:sz w:val="17"/>
                <w:szCs w:val="17"/>
                <w:lang w:val="en-US" w:eastAsia="zh-CN" w:bidi="ar"/>
              </w:rPr>
            </w:pPr>
            <w:r>
              <w:rPr>
                <w:rStyle w:val="31"/>
                <w:rFonts w:ascii="仿宋_GB2312" w:hAnsi="仿宋_GB2312" w:eastAsia="仿宋_GB2312"/>
                <w:b w:val="0"/>
                <w:bCs/>
                <w:color w:val="auto"/>
                <w:sz w:val="17"/>
                <w:szCs w:val="17"/>
                <w:lang w:val="en-US" w:eastAsia="zh-CN" w:bidi="ar"/>
              </w:rPr>
              <w:t>3.《山东省安全生产条例》第五十四条：“县级以上人民政府及其有关部门应当将安全生产科技发展纳入本行政区域科技发展规划，引导生产经营单位加快新技术、新装备、新工艺、新材料的使用，实现生产经营机械化、自动化、智能化，提升安全生产科学化、标准化水平。”</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8"/>
                <w:rFonts w:ascii="仿宋_GB2312" w:hAnsi="仿宋_GB2312" w:eastAsia="仿宋_GB2312"/>
                <w:b w:val="0"/>
                <w:bCs/>
                <w:color w:val="auto"/>
                <w:sz w:val="17"/>
                <w:szCs w:val="17"/>
                <w:lang w:val="en-US" w:eastAsia="zh-CN" w:bidi="ar"/>
              </w:rPr>
            </w:pPr>
            <w:r>
              <w:rPr>
                <w:rStyle w:val="28"/>
                <w:rFonts w:ascii="仿宋_GB2312" w:hAnsi="仿宋_GB2312" w:eastAsia="仿宋_GB2312"/>
                <w:b w:val="0"/>
                <w:bCs/>
                <w:color w:val="auto"/>
                <w:sz w:val="17"/>
                <w:szCs w:val="17"/>
                <w:lang w:val="en-US" w:eastAsia="zh-CN" w:bidi="ar"/>
              </w:rPr>
              <w:t>4.《自动化仪表工程施工及质量验收规范》 (GB50093-2013)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31"/>
                <w:rFonts w:ascii="仿宋_GB2312" w:hAnsi="仿宋_GB2312" w:eastAsia="仿宋_GB2312"/>
                <w:b w:val="0"/>
                <w:bCs/>
                <w:color w:val="auto"/>
                <w:sz w:val="17"/>
                <w:szCs w:val="17"/>
                <w:lang w:val="en-US" w:eastAsia="zh-CN" w:bidi="ar"/>
              </w:rPr>
            </w:pPr>
            <w:r>
              <w:rPr>
                <w:rStyle w:val="31"/>
                <w:rFonts w:ascii="仿宋_GB2312" w:hAnsi="仿宋_GB2312" w:eastAsia="仿宋_GB2312"/>
                <w:b w:val="0"/>
                <w:bCs/>
                <w:color w:val="auto"/>
                <w:sz w:val="17"/>
                <w:szCs w:val="17"/>
                <w:lang w:val="en-US" w:eastAsia="zh-CN" w:bidi="ar"/>
              </w:rPr>
              <w:t>5.《全省危险化学品安全生产“机 械化换人、自动化减人”工作方案》(鲁应急字〔2021〕135 号)。</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31"/>
                <w:rFonts w:ascii="仿宋_GB2312" w:hAnsi="仿宋_GB2312" w:eastAsia="仿宋_GB2312"/>
                <w:b w:val="0"/>
                <w:bCs/>
                <w:color w:val="auto"/>
                <w:sz w:val="17"/>
                <w:szCs w:val="17"/>
                <w:lang w:val="en-US" w:eastAsia="zh-CN" w:bidi="ar"/>
              </w:rPr>
            </w:pPr>
            <w:r>
              <w:rPr>
                <w:rStyle w:val="31"/>
                <w:rFonts w:ascii="仿宋_GB2312" w:hAnsi="仿宋_GB2312" w:eastAsia="仿宋_GB2312"/>
                <w:b w:val="0"/>
                <w:bCs/>
                <w:color w:val="auto"/>
                <w:sz w:val="17"/>
                <w:szCs w:val="17"/>
                <w:lang w:val="en-US" w:eastAsia="zh-CN" w:bidi="ar"/>
              </w:rPr>
              <w:t>6.全国安全生产专项整治三年行动计划》（安委〔2020〕3号）。</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31"/>
                <w:rFonts w:ascii="仿宋_GB2312" w:hAnsi="仿宋_GB2312" w:eastAsia="仿宋_GB2312"/>
                <w:b w:val="0"/>
                <w:bCs/>
                <w:color w:val="auto"/>
                <w:sz w:val="17"/>
                <w:szCs w:val="17"/>
                <w:lang w:val="en-US" w:eastAsia="zh-CN" w:bidi="ar"/>
              </w:rPr>
            </w:pPr>
            <w:r>
              <w:rPr>
                <w:rStyle w:val="31"/>
                <w:rFonts w:ascii="仿宋_GB2312" w:hAnsi="仿宋_GB2312" w:eastAsia="仿宋_GB2312"/>
                <w:b w:val="0"/>
                <w:bCs/>
                <w:color w:val="auto"/>
                <w:sz w:val="17"/>
                <w:szCs w:val="17"/>
                <w:lang w:val="en-US" w:eastAsia="zh-CN" w:bidi="ar"/>
              </w:rPr>
              <w:t>7.《重点监管危险化工工艺目录》(2013年完整版)。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31"/>
                <w:rFonts w:ascii="仿宋_GB2312" w:hAnsi="仿宋_GB2312" w:eastAsia="仿宋_GB2312"/>
                <w:b w:val="0"/>
                <w:bCs/>
                <w:color w:val="auto"/>
                <w:sz w:val="17"/>
                <w:szCs w:val="17"/>
                <w:lang w:val="en-US" w:eastAsia="zh-CN" w:bidi="ar"/>
              </w:rPr>
              <w:t>8.《关于全面加强危险化学品安全生产工作的实施意见》（鲁办发电〔2021〕55号）。</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构成一级、二级重大危险源的危险化学品罐区实现紧急切断功能情况；涉及毒性气体、液化气体、剧毒液体的一级、二级重大危险源的危险化学品罐区配备独立的安全仪表系统情况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hAnsi="仿宋_GB2312" w:eastAsia="仿宋_GB2312" w:cs="黑体"/>
                <w:b w:val="0"/>
                <w:bCs/>
                <w:i w:val="0"/>
                <w:color w:val="auto"/>
                <w:sz w:val="17"/>
                <w:szCs w:val="17"/>
                <w:u w:val="none"/>
              </w:rPr>
            </w:pPr>
            <w:r>
              <w:rPr>
                <w:rFonts w:hint="eastAsia" w:ascii="仿宋_GB2312" w:hAnsi="仿宋_GB2312" w:eastAsia="仿宋_GB2312" w:cs="黑体"/>
                <w:b w:val="0"/>
                <w:bCs/>
                <w:i w:val="0"/>
                <w:color w:val="auto"/>
                <w:kern w:val="0"/>
                <w:sz w:val="17"/>
                <w:szCs w:val="17"/>
                <w:u w:val="none"/>
                <w:lang w:val="en-US" w:eastAsia="zh-CN" w:bidi="ar"/>
              </w:rPr>
              <w:t>一级、二级重大危险源的危险化学品罐区</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黑体"/>
                <w:b w:val="0"/>
                <w:bCs/>
                <w:i w:val="0"/>
                <w:color w:val="auto"/>
                <w:sz w:val="17"/>
                <w:szCs w:val="17"/>
                <w:u w:val="none"/>
              </w:rPr>
            </w:pPr>
            <w:r>
              <w:rPr>
                <w:rFonts w:hint="eastAsia" w:ascii="仿宋_GB2312" w:hAnsi="仿宋_GB2312" w:eastAsia="仿宋_GB2312" w:cs="黑体"/>
                <w:b w:val="0"/>
                <w:bCs/>
                <w:i w:val="0"/>
                <w:color w:val="auto"/>
                <w:kern w:val="0"/>
                <w:sz w:val="17"/>
                <w:szCs w:val="17"/>
                <w:u w:val="none"/>
                <w:lang w:val="en-US" w:eastAsia="zh-CN" w:bidi="ar"/>
              </w:rPr>
              <w:t>**储罐区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1.构成一级、二级重大危险源的危险化学品罐区，各储罐进、出口是否设置紧急切断阀；</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2.构成一级、二级重大危险源的危险化学品罐区，在罐区的总进出管道上设置了总紧急切断阀，但各储罐是否分别设置；</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 xml:space="preserve">3.涉及毒性气体、液化气体、剧毒液体的一级、二级重大危险源的危险化学品罐区是否配备独立的安全仪表系统。     </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1.查阅重大危险源辨识记录及评估报告。</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9"/>
                <w:rFonts w:ascii="仿宋_GB2312" w:hAnsi="仿宋_GB2312" w:eastAsia="仿宋_GB2312"/>
                <w:b w:val="0"/>
                <w:bCs/>
                <w:color w:val="auto"/>
                <w:sz w:val="17"/>
                <w:szCs w:val="17"/>
                <w:lang w:val="en-US" w:eastAsia="zh-CN" w:bidi="ar"/>
              </w:rPr>
            </w:pPr>
            <w:r>
              <w:rPr>
                <w:rStyle w:val="29"/>
                <w:rFonts w:ascii="仿宋_GB2312" w:hAnsi="仿宋_GB2312" w:eastAsia="仿宋_GB2312"/>
                <w:b w:val="0"/>
                <w:bCs/>
                <w:color w:val="auto"/>
                <w:sz w:val="17"/>
                <w:szCs w:val="17"/>
                <w:lang w:val="en-US" w:eastAsia="zh-CN" w:bidi="ar"/>
              </w:rPr>
              <w:t>2.现场检查确认构成构成一级、二级重大危险源的危险化学品罐区是否实现紧急切断功能，</w:t>
            </w:r>
            <w:r>
              <w:rPr>
                <w:rStyle w:val="30"/>
                <w:rFonts w:ascii="仿宋_GB2312" w:hAnsi="仿宋_GB2312" w:eastAsia="仿宋_GB2312"/>
                <w:b w:val="0"/>
                <w:bCs/>
                <w:color w:val="auto"/>
                <w:sz w:val="17"/>
                <w:szCs w:val="17"/>
                <w:lang w:val="en-US" w:eastAsia="zh-CN" w:bidi="ar"/>
              </w:rPr>
              <w:t>仪表气源压力是否正常；</w:t>
            </w:r>
            <w:r>
              <w:rPr>
                <w:rStyle w:val="29"/>
                <w:rFonts w:ascii="仿宋_GB2312" w:hAnsi="仿宋_GB2312" w:eastAsia="仿宋_GB2312"/>
                <w:b w:val="0"/>
                <w:bCs/>
                <w:color w:val="auto"/>
                <w:sz w:val="17"/>
                <w:szCs w:val="17"/>
                <w:lang w:val="en-US" w:eastAsia="zh-CN" w:bidi="ar"/>
              </w:rPr>
              <w:t>涉及毒性气体、液化气体、剧毒液体的是否配备独立的安全仪表系统。</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29"/>
                <w:rFonts w:ascii="仿宋_GB2312" w:hAnsi="仿宋_GB2312" w:eastAsia="仿宋_GB2312"/>
                <w:b w:val="0"/>
                <w:bCs/>
                <w:color w:val="auto"/>
                <w:sz w:val="17"/>
                <w:szCs w:val="17"/>
                <w:lang w:val="en-US" w:eastAsia="zh-CN" w:bidi="ar"/>
              </w:rPr>
              <w:t>3.现场检查各储罐进出口是否分别设置了紧急切断阀。</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1.对不符合要求的一二级重大危险源罐区进行安全停用，联系有资质的单位进行设计改造，在各储罐进、出口设置紧急切断阀，在罐区的总进出及各储罐管道上设置紧急切断阀，改造验收通过后组织投用。</w:t>
            </w:r>
          </w:p>
          <w:p>
            <w:pPr>
              <w:keepNext w:val="0"/>
              <w:keepLines w:val="0"/>
              <w:pageBreakBefore w:val="0"/>
              <w:widowControl/>
              <w:suppressLineNumbers w:val="0"/>
              <w:kinsoku/>
              <w:wordWrap/>
              <w:overflowPunct/>
              <w:topLinePunct w:val="0"/>
              <w:autoSpaceDE/>
              <w:autoSpaceDN/>
              <w:bidi w:val="0"/>
              <w:adjustRightInd/>
              <w:snapToGrid/>
              <w:spacing w:afterAutospacing="0"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2.对涉及毒性气体、液化气体、剧毒液体的罐区进行安全停用，联系有资质的单位进行设计改造，配备独立的安全仪表系统，改造验收通过后组织投用。</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1.《化工和危险化学品生产经营单位重大生产安全事故隐患判定标准（试行）》（安监总管三〔2017〕121号）：“依据有关法律法规、部门规章和国家标准，以下情形应当判定为重大事故隐患：第五条 构成一级、二级重大危险源的危险化学品罐区未实现紧急切断功能；涉及毒性气体、液化气体、剧毒液体的一级、二级重大危险源的危险化学品罐区未配备独立的安全仪表系统。</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危险化学品重大危险源监督管理暂行规定》第十三条：“危险化学品单位应当根据构成重大危险源的危险化学品种类、数量、生产、使用工艺（方式）或者相关设备、设施等实际情况，按照下列要求建立健全安全监测监控体系，完善控制措施：……（二）重大危险源的化工生产装置装备满足安全生产要求的自动化控制系统；一级或者二级重大危险源，装备紧急停车系统；（三）对重大危险源中的毒性气体、剧毒液体和易燃气体等重点设施，设置紧急切断装置；毒性气体的设施，设置泄漏物紧急处置装置。涉及毒性气体、液化气体、剧毒液体的一级或者二级重大危险源，配备独立的安全仪表系统（SIS）;……”第三十二条第三项:"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三）未按照本规定及相关标准要求对重大危险源进行安全监测监控的；”。</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1.构成一级、二级重大危险源的危险化学品罐区，在同用途的不同储罐间设置了紧急切换的方式可避免储罐出现超液位、超压等后果的，不判定为重大隐患。</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2.构成一级、二级重大危险源的危险化学品罐区，储罐未实现紧急切断功能，但企业开展了 HAZOP分析、SIL评估，结果显示符合安全要求的，可不判定为重大隐患。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6</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全压力式液化烃储罐按国家标准设置注水措施情况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黑体"/>
                <w:b w:val="0"/>
                <w:bCs/>
                <w:i w:val="0"/>
                <w:color w:val="auto"/>
                <w:sz w:val="17"/>
                <w:szCs w:val="17"/>
                <w:u w:val="none"/>
              </w:rPr>
            </w:pPr>
            <w:r>
              <w:rPr>
                <w:rFonts w:hint="eastAsia" w:ascii="仿宋_GB2312" w:hAnsi="仿宋_GB2312" w:eastAsia="仿宋_GB2312" w:cs="黑体"/>
                <w:b w:val="0"/>
                <w:bCs/>
                <w:i w:val="0"/>
                <w:color w:val="auto"/>
                <w:kern w:val="0"/>
                <w:sz w:val="17"/>
                <w:szCs w:val="17"/>
                <w:u w:val="none"/>
                <w:lang w:val="en-US" w:eastAsia="zh-CN" w:bidi="ar"/>
              </w:rPr>
              <w:t>**液化烃储区</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黑体"/>
                <w:b w:val="0"/>
                <w:bCs/>
                <w:i w:val="0"/>
                <w:color w:val="auto"/>
                <w:sz w:val="17"/>
                <w:szCs w:val="17"/>
                <w:u w:val="none"/>
              </w:rPr>
            </w:pPr>
            <w:r>
              <w:rPr>
                <w:rFonts w:hint="eastAsia" w:ascii="仿宋_GB2312" w:hAnsi="仿宋_GB2312" w:eastAsia="仿宋_GB2312" w:cs="黑体"/>
                <w:b w:val="0"/>
                <w:bCs/>
                <w:i w:val="0"/>
                <w:color w:val="auto"/>
                <w:kern w:val="0"/>
                <w:sz w:val="17"/>
                <w:szCs w:val="17"/>
                <w:u w:val="none"/>
                <w:lang w:val="en-US" w:eastAsia="zh-CN" w:bidi="ar"/>
              </w:rPr>
              <w:t>**液化烃储区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1.丙烯、丙烷、混合C4.抽余C4及液化石油气的球形储罐是否设置注水设施（卧式储罐可不设置注水措施）；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2.储罐注水措施是否设置带手动功能的远程控制阀；</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3.储罐注水措施是否能够保障</w:t>
            </w:r>
            <w:r>
              <w:rPr>
                <w:rStyle w:val="28"/>
                <w:rFonts w:ascii="仿宋_GB2312" w:hAnsi="仿宋_GB2312" w:eastAsia="仿宋_GB2312"/>
                <w:b w:val="0"/>
                <w:bCs/>
                <w:color w:val="auto"/>
                <w:sz w:val="17"/>
                <w:szCs w:val="17"/>
                <w:lang w:val="en-US" w:eastAsia="zh-CN" w:bidi="ar"/>
              </w:rPr>
              <w:t>充足可靠</w:t>
            </w:r>
            <w:r>
              <w:rPr>
                <w:rFonts w:hint="eastAsia" w:ascii="仿宋_GB2312" w:hAnsi="仿宋_GB2312" w:eastAsia="仿宋_GB2312" w:cs="宋体"/>
                <w:b w:val="0"/>
                <w:bCs/>
                <w:i w:val="0"/>
                <w:color w:val="auto"/>
                <w:kern w:val="0"/>
                <w:sz w:val="17"/>
                <w:szCs w:val="17"/>
                <w:u w:val="none"/>
                <w:lang w:val="en-US" w:eastAsia="zh-CN" w:bidi="ar"/>
              </w:rPr>
              <w:t>的注水水源、注水压力。</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1.现场检查全压力式液化烃储罐是否按国家标准设置注水措施。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2.现场检查注水措施是否设置带手动功能的远程控制阀。</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3.现场检查注水水源及注水压力是否满足相关要求。</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1.按要求设置注水措施。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2.设置带手动功能的远程控制阀。</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3.注水水源及注水压力调整至满足相关要求。</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1.《化工和危险化学品生产经营单位重大生产安全事故隐患判定标准（试行）》（安监总管三〔2017〕121号）：“依据有关法律法规、部门规章和国家标准，以下情形应当判定为重大事故隐患：第六条 全压力式液化烃储罐未按国家标准设置注水措施。”</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危险化学品生产企业安全生产许可证实施办法》第二十二条：“企业除符合本章规定的安全生产条件，还应当符合有关法律、行政法规和国家标准或者行业标准规定的其他安全生产条件。”第四十三条：“企业取得安全生产许可证后发现其不具备本办法规定的安全生产条件的，依法暂扣其安全生产许可证1个月以上6个月以下；暂扣期满仍不具备本办法规定的安全生产条件的，依法吊销其安全生产许可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 xml:space="preserve">3.《石油化工企业设计防火标准》（GB50160）第6.3.16条：“全压力式储罐应采取防止液化烃泄漏的注水措施。”   </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7</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液化烃、液氨、液氯等易燃易爆、有毒有害液化气体的充装使用万向管道充装系统情况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异丁烯储罐区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异丁烯卸车是否使用万向管道卸车系统。</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1.现场检查异丁烯卸车装置是否使用万向管道卸车系统。</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2.现场检查万向管道卸车系统是否正常投入使用。</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立即停止卸车作业，联系有资质单位对装卸站重新设计万向管道卸车系统，并及时进行改造，使其符合相关要求。</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1.《化工和危险化学品生产经营单位重大生产安全事故隐患判定标准（试行）》（安监总管三〔2017〕121号）：“依据有关法律法规、部门规章和国家标准，以下情形应当判定为重大事故隐患：第七条 液化烃、液氨、液氯等易燃易爆、有毒有害液化气体的充装未使用万向管道充装系统。”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三十六条：“安全设备的设计、制造、安装、使用、检测、维修、改造和报废，应当符合国家标准或者行业标准。”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spacing w:val="-6"/>
                <w:kern w:val="0"/>
                <w:sz w:val="17"/>
                <w:szCs w:val="17"/>
                <w:u w:val="none"/>
                <w:lang w:val="en-US" w:eastAsia="zh-CN" w:bidi="ar"/>
              </w:rPr>
              <w:t>3.《石油化工企业设计防火标准（2018年版）》（GB50160）第6.4.2条：“甲B、乙、丙A类液体的装卸车应采用液下装卸车鹤管。”第6.4.3条：“1.液化烃（即甲A类易燃液体）严禁就地</w:t>
            </w:r>
            <w:r>
              <w:rPr>
                <w:rFonts w:hint="eastAsia" w:ascii="仿宋_GB2312" w:hAnsi="仿宋_GB2312" w:eastAsia="仿宋_GB2312" w:cs="宋体"/>
                <w:b w:val="0"/>
                <w:bCs/>
                <w:i w:val="0"/>
                <w:color w:val="auto"/>
                <w:kern w:val="0"/>
                <w:sz w:val="17"/>
                <w:szCs w:val="17"/>
                <w:u w:val="none"/>
                <w:lang w:val="en-US" w:eastAsia="zh-CN" w:bidi="ar"/>
              </w:rPr>
              <w:t>排放；2.低温液化烃装卸鹤位应单独设置”。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4.《国家安全监管总局  住房城乡建设部关于进一步加强危险化学品建设项目安全设计</w:t>
            </w:r>
            <w:r>
              <w:rPr>
                <w:rFonts w:hint="eastAsia" w:ascii="仿宋_GB2312" w:hAnsi="仿宋_GB2312" w:eastAsia="仿宋_GB2312" w:cs="宋体"/>
                <w:b w:val="0"/>
                <w:bCs/>
                <w:i w:val="0"/>
                <w:color w:val="auto"/>
                <w:spacing w:val="-3"/>
                <w:kern w:val="0"/>
                <w:sz w:val="17"/>
                <w:szCs w:val="17"/>
                <w:u w:val="none"/>
                <w:lang w:val="en-US" w:eastAsia="zh-CN" w:bidi="ar"/>
              </w:rPr>
              <w:t>管理的通知》（安监总管三〔2013〕76号）：“（二十）液化石油气、液化天然气、液氯和液氨等易燃易爆有毒有害液化气体的充装应设计万向节管道充装系统，充装设备管道的静电接地、装卸软管及仪表和安全附件应配备齐全。”</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5" w:hRule="atLeast"/>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8</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光气、氯气等剧毒气体及硫化氢气体管道穿越除厂区(包括化工园区、工业园区）外的公共区域情况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不涉及</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光气、氯气等剧毒气体及硫化氢气体管道是否穿越除厂区(包括化工园区、工业园区）外的公共区域。</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1.查阅设计文件</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2.现场检查</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对穿越除厂区外公共区域的光气、氯气等剧毒气体及硫化氢气体管道立即安全停用并拆除。</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1.《化工和危险化学品生产经营单位重大生产安全事故隐患判定标准（试行）》（安监总管三〔2017〕121号）：“依据有关法律法规、部门规章和国家标准，以下情形应当判定为重大事故隐患：第八条 光气、氯气等剧毒气体及硫化氢气体管道穿越除厂区(包括化工园区、工业园区）外的公共区域。”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5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3.《危险化学品输送管道安全管理规定》第七条：“禁止光气、氯气等剧毒气体化学品管道穿（跨）越公共区域。严格控制氨、硫化氢等其他有毒气体的危险化学品管道穿（跨）越公共区域。”</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0" w:hRule="atLeast"/>
          <w:jc w:val="center"/>
        </w:trPr>
        <w:tc>
          <w:tcPr>
            <w:tcW w:w="30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9</w:t>
            </w:r>
          </w:p>
        </w:tc>
        <w:tc>
          <w:tcPr>
            <w:tcW w:w="562"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地区架空电力线路穿越生产区且符合国家标准要求情况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不涉及</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架空电力线路是否穿越生产区且不符合《石油化工设计防火标准（2018版）》（GB50160）第4.1.6条和《建筑防火通用规范》（GB55037﹘2022）第10.2.5条规定要求。</w:t>
            </w:r>
          </w:p>
        </w:tc>
        <w:tc>
          <w:tcPr>
            <w:tcW w:w="1667"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现场检查</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依法协商电力设施产权单位进行整改，使其符合相关规定要求。</w:t>
            </w:r>
          </w:p>
        </w:tc>
        <w:tc>
          <w:tcPr>
            <w:tcW w:w="3498" w:type="dxa"/>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1.《化工和危险化学品生产经营单位重大生产安全事故隐患判定标准（试行）》（安监总管三〔2017〕121号）：“依据有关法律法规、部门规章和国家标准，以下情形应当判定为重大事故隐患：第九条 地区架空电力线路穿越生产区且不符合国家标准要求。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危险化学品生产企业安全生产许可证实施办法》第二十二条：“企业除符合本章规定的安全生产条件，还应当符合有关法律、行政法规和国家标准或者行业标准规定的其他安全生产条件。”第四十三条：“企业取得安全生产许可证后发现其不具备本办法规定的安全生产条件的，依法暂扣其安全生产许可证1个月以上6个月以下；暂扣期满仍不具备本办法规定的安全生产条件的，依法吊销其安全生产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3.《石油化工企业设计防火标准（2018版）》（GB50160）第4.1.6条：“公路和地区架空电力线路严禁穿越生产区。”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建筑防火通用规范》（GB55037﹘2022）第10.2.5条：“架空电力线路不应跨越生产或储存易燃、易爆物质的建筑，仓库区域，危险品站台，及其他有爆炸危险的场所，相互间的最小水平距离不应小于电杆或电塔高度的1.5倍。1kV及以上的架空电力线路不应跨越可燃性建筑屋面。”</w:t>
            </w:r>
          </w:p>
        </w:tc>
        <w:tc>
          <w:tcPr>
            <w:tcW w:w="896" w:type="dxa"/>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0"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10</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在役化工装置安全设计及诊断情况</w:t>
            </w: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烷基化生产装置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1.查看在役化工生产装置是否经过安全设计；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8"/>
                <w:rFonts w:hint="eastAsia" w:ascii="仿宋_GB2312" w:hAnsi="仿宋_GB2312" w:eastAsia="仿宋_GB2312"/>
                <w:b w:val="0"/>
                <w:bCs/>
                <w:color w:val="auto"/>
                <w:sz w:val="17"/>
                <w:szCs w:val="17"/>
                <w:lang w:val="en-US" w:eastAsia="zh-CN" w:bidi="ar"/>
              </w:rPr>
              <w:t>2.</w:t>
            </w:r>
            <w:r>
              <w:rPr>
                <w:rStyle w:val="28"/>
                <w:rFonts w:ascii="仿宋_GB2312" w:hAnsi="仿宋_GB2312" w:eastAsia="仿宋_GB2312"/>
                <w:b w:val="0"/>
                <w:bCs/>
                <w:color w:val="auto"/>
                <w:sz w:val="17"/>
                <w:szCs w:val="17"/>
                <w:lang w:val="en-US" w:eastAsia="zh-CN" w:bidi="ar"/>
              </w:rPr>
              <w:t>查看涉及“两重点一重大”生产装置</w:t>
            </w:r>
            <w:r>
              <w:rPr>
                <w:rFonts w:hint="eastAsia" w:ascii="仿宋_GB2312" w:hAnsi="仿宋_GB2312" w:eastAsia="仿宋_GB2312" w:cs="宋体"/>
                <w:b w:val="0"/>
                <w:bCs/>
                <w:i w:val="0"/>
                <w:color w:val="auto"/>
                <w:kern w:val="0"/>
                <w:sz w:val="17"/>
                <w:szCs w:val="17"/>
                <w:u w:val="none"/>
                <w:lang w:val="en-US" w:eastAsia="zh-CN" w:bidi="ar"/>
              </w:rPr>
              <w:t>的设计单位工程设计资质是否为甲级及以上资质，工程设计的业务范围是否为化工及相关专业；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ind w:leftChars="0"/>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3.查看</w:t>
            </w:r>
            <w:r>
              <w:rPr>
                <w:rStyle w:val="28"/>
                <w:rFonts w:ascii="仿宋_GB2312" w:hAnsi="仿宋_GB2312" w:eastAsia="仿宋_GB2312"/>
                <w:b w:val="0"/>
                <w:bCs/>
                <w:color w:val="auto"/>
                <w:sz w:val="17"/>
                <w:szCs w:val="17"/>
                <w:lang w:val="en-US" w:eastAsia="zh-CN" w:bidi="ar"/>
              </w:rPr>
              <w:t>对未经安全设计的</w:t>
            </w:r>
            <w:r>
              <w:rPr>
                <w:rFonts w:hint="eastAsia" w:ascii="仿宋_GB2312" w:hAnsi="仿宋_GB2312" w:eastAsia="仿宋_GB2312" w:cs="宋体"/>
                <w:b w:val="0"/>
                <w:bCs/>
                <w:i w:val="0"/>
                <w:color w:val="auto"/>
                <w:kern w:val="0"/>
                <w:sz w:val="17"/>
                <w:szCs w:val="17"/>
                <w:u w:val="none"/>
                <w:lang w:val="en-US" w:eastAsia="zh-CN" w:bidi="ar"/>
              </w:rPr>
              <w:t>在役化工装置是否进行安全设计诊断。</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1.查看生产装置的安全设计文件。</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2.查看设计单位工程设计资质级别及工程设计范围。</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3.查看</w:t>
            </w:r>
            <w:r>
              <w:rPr>
                <w:rStyle w:val="28"/>
                <w:rFonts w:ascii="仿宋_GB2312" w:hAnsi="仿宋_GB2312" w:eastAsia="仿宋_GB2312"/>
                <w:b w:val="0"/>
                <w:bCs/>
                <w:color w:val="auto"/>
                <w:sz w:val="17"/>
                <w:szCs w:val="17"/>
                <w:lang w:val="en-US" w:eastAsia="zh-CN" w:bidi="ar"/>
              </w:rPr>
              <w:t>未经安全设计的在役化工装置</w:t>
            </w:r>
            <w:r>
              <w:rPr>
                <w:rFonts w:hint="eastAsia" w:ascii="仿宋_GB2312" w:hAnsi="仿宋_GB2312" w:eastAsia="仿宋_GB2312" w:cs="宋体"/>
                <w:b w:val="0"/>
                <w:bCs/>
                <w:i w:val="0"/>
                <w:color w:val="auto"/>
                <w:kern w:val="0"/>
                <w:sz w:val="17"/>
                <w:szCs w:val="17"/>
                <w:u w:val="none"/>
                <w:lang w:val="en-US" w:eastAsia="zh-CN" w:bidi="ar"/>
              </w:rPr>
              <w:t>安全设计诊断报告及资质。</w:t>
            </w: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联系有资质的设计单位对生产装置进行诊断，并根据诊断改进意见进行改造。</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32"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1.《化工和危险化学品生产经营单位重大生产安全事故隐患判定标准（试行）》（安监总管三〔2017〕121号）：“依据有关法律法规、部门规章和国家标准，以下情形应当判定为重大事故隐患：第十条 在役化工装置未经正规设计且未进行安全设计诊断。”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32" w:lineRule="exact"/>
              <w:ind w:leftChars="0"/>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三十一条：“生产经营单位新建、改建、扩建工程项目（以下统称建设项目）的安全设施，必须与主体工程同时设计、同时施工、同时投入生产和使用。安全设施投资应当纳入建设项目概算。”第九十八条第二项：“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32" w:lineRule="exact"/>
              <w:ind w:leftChars="0"/>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危险化学品建设项目安全监督管理办法》第七条：“建设项目的设计、施工、监理单位和安全评价机构应当具备相应的资质，并对其工作成果负责。涉及重点监管危险化工工艺、重点监管危险化学品或者危险化学品重大危险源的建设项目，应当由具有石油化工医药行业相应资质的设计单位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32" w:lineRule="exact"/>
              <w:ind w:leftChars="0"/>
              <w:jc w:val="both"/>
              <w:textAlignment w:val="center"/>
              <w:rPr>
                <w:rFonts w:hint="eastAsia" w:ascii="仿宋_GB2312" w:hAnsi="仿宋_GB2312" w:eastAsia="仿宋_GB2312" w:cs="宋体"/>
                <w:b w:val="0"/>
                <w:bCs/>
                <w:i w:val="0"/>
                <w:color w:val="auto"/>
                <w:spacing w:val="-6"/>
                <w:kern w:val="0"/>
                <w:sz w:val="17"/>
                <w:szCs w:val="17"/>
                <w:u w:val="none"/>
                <w:lang w:val="en-US" w:eastAsia="zh-CN" w:bidi="ar"/>
              </w:rPr>
            </w:pPr>
            <w:r>
              <w:rPr>
                <w:rFonts w:hint="eastAsia" w:ascii="仿宋_GB2312" w:hAnsi="仿宋_GB2312" w:eastAsia="仿宋_GB2312" w:cs="宋体"/>
                <w:b w:val="0"/>
                <w:bCs/>
                <w:i w:val="0"/>
                <w:color w:val="auto"/>
                <w:spacing w:val="-6"/>
                <w:kern w:val="0"/>
                <w:sz w:val="17"/>
                <w:szCs w:val="17"/>
                <w:u w:val="none"/>
                <w:lang w:val="en-US" w:eastAsia="zh-CN" w:bidi="ar"/>
              </w:rPr>
              <w:t>4.关于进一步加强危险化学品建设项目安全设计管理的通知》（安监总管三〔2013〕76号）。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32" w:lineRule="exact"/>
              <w:ind w:leftChars="0"/>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w:t>
            </w:r>
            <w:r>
              <w:rPr>
                <w:rFonts w:hint="eastAsia" w:ascii="仿宋_GB2312" w:hAnsi="仿宋_GB2312" w:eastAsia="仿宋_GB2312" w:cs="宋体"/>
                <w:b w:val="0"/>
                <w:bCs/>
                <w:i w:val="0"/>
                <w:color w:val="auto"/>
                <w:spacing w:val="-6"/>
                <w:kern w:val="0"/>
                <w:sz w:val="17"/>
                <w:szCs w:val="17"/>
                <w:u w:val="none"/>
                <w:lang w:val="en-US" w:eastAsia="zh-CN" w:bidi="ar"/>
              </w:rPr>
              <w:t>《工程设计资质标准》（建市〔2007〕86号）。</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0"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酯交换生产装置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11</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使用淘汰落后安全技术工艺、设备目录列出的工艺、设备情况</w:t>
            </w: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异丁烯储罐区</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1.异丁烯卸车和输送管道是否使用软管；</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2.是否使用三足式离心机或使用敞开式离心机；</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3.燃气加热炉、导热油炉是否安装火焰监测和熄火保护系统。</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1.对照《淘汰落后危险化学品安全生产工艺技术设备目录（第一批）》《淘汰落后危险化学品安全生产工艺技术设备目录（第二批）》等文件，检查是否使用淘汰落后安全技术工艺、设备。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2.现场核实工艺流程和设备设施。</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存在使用淘汰落后安全技术工艺、设备目录列出的工艺、设备的，应当立即停止使用并拆除，更换符合国家相关要求的工艺及设备。</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1.《化工和危险化学品生产经营单位重大生产安全事故隐患判定标准（试行）》（安监总管三〔2017〕121号）：“依据有关法律法规、部门规章和国家标准，以下情形应当判定为重大事故隐患：第十一条 使用淘汰落后安全技术工艺、设备目录列出的工艺、设备。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三十八条：“国家对严重危及生产安全的工艺、设备实行淘汰制度，具体目录由国务院应急管理部门会同国务院有关部门制定并公布。法律、行政法规对目录的制定另有规定的，适用其规定。省、自治区、直辖市人民政府可以根据本地区实际情况制定并公布具体目录，对前款规定以外的危及生产安全的工艺、设备予以淘汰。生产经营单位不得使用应当淘汰的危及生产安全的工艺、设备。”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3.《国家安全监管总局关于印发淘汰落后安全技术工艺、设备目录（2016年）的通知》（安监总科技〔2016〕137号）。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4.《淘汰落后安全技术装备目录（2015年第一批）的通知》（安监总科技〔2015〕75号）。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5.《淘汰落后与推广先进安全技术装备目录》（2017年）。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pacing w:val="-6"/>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6.《淘汰落后危险化学品安全生产工艺技</w:t>
            </w:r>
            <w:r>
              <w:rPr>
                <w:rFonts w:hint="eastAsia" w:ascii="仿宋_GB2312" w:hAnsi="仿宋_GB2312" w:eastAsia="仿宋_GB2312" w:cs="宋体"/>
                <w:b w:val="0"/>
                <w:bCs/>
                <w:i w:val="0"/>
                <w:color w:val="auto"/>
                <w:spacing w:val="-6"/>
                <w:kern w:val="0"/>
                <w:sz w:val="17"/>
                <w:szCs w:val="17"/>
                <w:u w:val="none"/>
                <w:lang w:val="en-US" w:eastAsia="zh-CN" w:bidi="ar"/>
              </w:rPr>
              <w:t>术设备目录（第一批）》（应急厅〔2020〕38号）。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7.应急管理部办公厅关于印发《淘汰落后危险化学品安全生产工艺技术设备目录（第二批）》的通知（应急厅〔2024〕86号）。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28"/>
                <w:rFonts w:ascii="仿宋_GB2312" w:hAnsi="仿宋_GB2312" w:eastAsia="仿宋_GB2312"/>
                <w:b w:val="0"/>
                <w:bCs/>
                <w:color w:val="auto"/>
                <w:sz w:val="17"/>
                <w:szCs w:val="17"/>
                <w:lang w:val="en-US" w:eastAsia="zh-CN" w:bidi="ar"/>
              </w:rPr>
              <w:t>8.《产业结构调整指导目录（2024年本）》。</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7"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酯交换生产装置</w:t>
            </w:r>
          </w:p>
        </w:tc>
        <w:tc>
          <w:tcPr>
            <w:tcW w:w="8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6"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蒸汽、导热油锅炉</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12</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涉及可燃和有毒有害气体泄漏的场所按照国家标准设置检测报警装置，爆炸危险场所按照国家标准安装使用防爆电气设备情况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异丁烯、甲醇、甲苯、三氯化磷、丙烯酸甲酯、盐酸</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1.室内涉及异丁烯、甲醇、甲苯、丙烯酸甲酯、天然气的可燃气体检测仪覆盖半径是否大于5米；</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2.室外涉及异丁烯、甲醇、甲苯、丙烯酸甲酯、天然气的可燃气体检测仪覆盖半径是否大于10米；</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3.室内涉及HCL、甲苯的有毒气体检测仪覆盖半径是否大于2米；</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4.室外涉及HCL、甲苯的有毒气体检测仪覆盖半径是否大于4米；</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5.各车间设置的可燃和有毒有害气体检测报警器种类是否错误（如检测对象错误、可燃或有毒类型错误等）；</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6.各车间对可能泄漏可燃和有毒有害气体的主要释放源设置了检测报警器，但检测报警器是否处于正常工作状态（故障、未通电、数据有严重偏差等）；</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7.爆炸危险场所是否使用防爆电气设备；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8.爆炸危险场所使用的防爆电气设备防爆等级是否低于dIIBT4。</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1.查看公司安全设施设计专篇，确认公司涉及可燃和有毒有害气体泄漏的场所。</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2.查看可燃气体及有毒有害气体报警仪系统的设计图纸。</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3.现场检查可燃气体及有毒有害气体装置的设置情况及覆盖半径。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4.现场检查可燃气体及有毒有害检测报警器的工作状态是否处于正常状态（如故障、未通电、数据有严重偏差等）。</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5.现场检查有无使用非防爆电气设备的。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6.现场检查防爆电气设备的防爆等级，确认是否符合标准要求。</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1.联系设计单位对可燃气体及有毒有害气体报警系统进行设计并按规范施工整改。</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2.非正常状态的报警仪进行维修或送电。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3.现场发现非防爆电气设备及工具的立即拆除或更换。</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4.防爆等级不足的电气设备更换为符合要求的电气设备。</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1.《化工和危险化学品生产经营单位重大生产安全事故隐患判定标准（试行）》（安监总管三〔2017〕121号）：“依据有关法律法规、部门规章和国家标准，以下情形应当判定为重大事故隐患：第十二条 涉及可燃和有毒有害气体泄漏的场所未按国家标准设置检测报警装置，爆炸危险场所未按国家标准安装使用防爆电气设备。”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危险化学品安全管理条例》第七十八条第一款第八项：“有下列情形之一的，由安全生产监督管理部门责令改正，可以处5万元以下的罚款；拒不改正的，处5万元以上10万元以下的罚款；情节严重的，责令停产停业整顿：（八）生产、储存危险化学品的单位未在作业场所和安全设施、设备上设置明显的安全警示标志，或者未在作业场所设置通信、报警装置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4.《石油化工可燃气体和有毒气体检测报警设计标准》（GB/T50493-2019）第5章。</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5.《爆炸性环境第1部分：设备通用要求》（GB3836.1-2010）。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6.《爆炸性气体环境用电气设备第16部分：电气装置的检查和维护（煤矿除外）》（GB3836.16-2006）。</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以下情况不判定为重大隐患：</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1）可燃和有毒有害气体检测报警器缺少声光报警装置的；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2）可燃和有毒有害气体检测报警器报警信号未</w:t>
            </w:r>
            <w:r>
              <w:rPr>
                <w:rFonts w:hint="eastAsia" w:ascii="仿宋_GB2312" w:hAnsi="仿宋_GB2312" w:eastAsia="仿宋_GB2312" w:cs="宋体"/>
                <w:b w:val="0"/>
                <w:bCs/>
                <w:i w:val="0"/>
                <w:color w:val="auto"/>
                <w:spacing w:val="-9"/>
                <w:kern w:val="0"/>
                <w:sz w:val="17"/>
                <w:szCs w:val="17"/>
                <w:u w:val="none"/>
                <w:lang w:val="en-US" w:eastAsia="zh-CN" w:bidi="ar"/>
              </w:rPr>
              <w:t>发送至24小</w:t>
            </w:r>
            <w:r>
              <w:rPr>
                <w:rFonts w:hint="eastAsia" w:ascii="仿宋_GB2312" w:hAnsi="仿宋_GB2312" w:eastAsia="仿宋_GB2312" w:cs="宋体"/>
                <w:b w:val="0"/>
                <w:bCs/>
                <w:i w:val="0"/>
                <w:color w:val="auto"/>
                <w:kern w:val="0"/>
                <w:sz w:val="17"/>
                <w:szCs w:val="17"/>
                <w:u w:val="none"/>
                <w:lang w:val="en-US" w:eastAsia="zh-CN" w:bidi="ar"/>
              </w:rPr>
              <w:t>时有人值守的值班室或操作室的；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3）可燃和有毒有害气体检测报警器安装高度不符合规范要求的；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pacing w:val="-6"/>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4）可燃和有毒有害气体检测报警器</w:t>
            </w:r>
            <w:r>
              <w:rPr>
                <w:rFonts w:hint="eastAsia" w:ascii="仿宋_GB2312" w:hAnsi="仿宋_GB2312" w:eastAsia="仿宋_GB2312" w:cs="宋体"/>
                <w:b w:val="0"/>
                <w:bCs/>
                <w:i w:val="0"/>
                <w:color w:val="auto"/>
                <w:spacing w:val="-6"/>
                <w:kern w:val="0"/>
                <w:sz w:val="17"/>
                <w:szCs w:val="17"/>
                <w:u w:val="none"/>
                <w:lang w:val="en-US" w:eastAsia="zh-CN" w:bidi="ar"/>
              </w:rPr>
              <w:t>报警值数值、分级等不符合要求的；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5）可燃和有毒有害气体检测报警器报警信息未实现连续记录的；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6）可燃和有毒有害气体检测报警器因检定临时拆除，企业已经制定了相应安全控制措施的；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7）可燃和有毒有害气体检测报警器</w:t>
            </w:r>
            <w:r>
              <w:rPr>
                <w:rFonts w:hint="eastAsia" w:ascii="仿宋_GB2312" w:hAnsi="仿宋_GB2312" w:eastAsia="仿宋_GB2312" w:cs="宋体"/>
                <w:b w:val="0"/>
                <w:bCs/>
                <w:i w:val="0"/>
                <w:color w:val="auto"/>
                <w:spacing w:val="-6"/>
                <w:kern w:val="0"/>
                <w:sz w:val="17"/>
                <w:szCs w:val="17"/>
                <w:u w:val="none"/>
                <w:lang w:val="en-US" w:eastAsia="zh-CN" w:bidi="ar"/>
              </w:rPr>
              <w:t>未定期检定，但未发现报警器有明显问题的。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甲醇、甲苯、三氯化磷、盐酸</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甲醇、甲苯、丙烯酸甲酯</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天然气</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3"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13</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控制室或机柜间面向具有火灾、爆炸危险性装置一侧满足国家标准关于防火防爆的要求情况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酯化生产装置（面向机柜间）</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1.DCS控制室或机柜间是否处于爆炸危险区范围内或者防火间距是否符合要求；</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2.控制室或机柜间面向（与装置间无其他建筑物；包括斜面向，如控制室窗户面向正南，但西南方面有火灾、爆炸危险性装置；不考虑与装置的距离大小）具有火灾、爆炸危险性装置一侧的外墙是否有门窗洞口；</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控制室或机柜间面向（与装置间无其他建筑物；包括斜面向，如控制室窗户面向正南，但西南方面有火灾、爆炸危险性装置；不考虑与装置的距离大小）具有火灾、爆炸危险性装置一侧的外墙无门窗洞口但墙体是否属于耐火极限不低于3小时的不燃烧材料实体墙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28"/>
                <w:rFonts w:ascii="仿宋_GB2312" w:hAnsi="仿宋_GB2312" w:eastAsia="仿宋_GB2312"/>
                <w:b w:val="0"/>
                <w:bCs/>
                <w:color w:val="auto"/>
                <w:sz w:val="17"/>
                <w:szCs w:val="17"/>
                <w:lang w:val="en-US" w:eastAsia="zh-CN" w:bidi="ar"/>
              </w:rPr>
              <w:t>4.经抗爆评估，需要进行抗爆设计的控制室或机柜间是否按要求进行设计和改造。</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1.查看安全设施设计专篇。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2.现场检查。</w:t>
            </w: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1.联系资质单位对控制室、机柜间进行抗爆设计并完成升级改造。</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2.将控制室、机柜间搬迁至符合防火防爆要求的区域。</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1.《化工和危险化学品生产经营单位重大生产安全事故隐患判定标准（试行）》（安监总管三〔2017〕121号）：“依据有关法律法规、部门规章和国家标准，以下情形应当判定为重大事故隐患：第十三条 控制室或机柜间面向具有火灾、爆炸危险性装置一侧不满足国家标准关于防火防爆的要求。”</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2.《危险化学品生产企业安全生产许可证实施办法》第八条：“企业选址布局、规划设计以及与重要场所、设施、区域的距离应当符合下列要求：（三）总体布局符合《化工企业总图运输设计规范》（GB50489）、《工业企业总平面设计规范》（GB50187）、《建筑设计防火规范》（GB50016）等标准的要求。石油化工企业除符合本条第一款规定条件外，还应当符合《石油化工企业设计防火规范》（GB50160）的要求。”第二十二条：“企业除符合本章规定的安全生产条件，还应当符合有关法律、行政法规和国家标准或者行业标准规定的其他安全生产条件。”第四十三条：“企业取得安全生产许可证后发现其不具备本办法规定的安全生产条件的，依法暂扣其安全生产许可证1个月以上6个月以下；暂扣期满仍不具备本办法规定的安全生产条件的，依法吊销其安全生产许可证。”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pacing w:val="-6"/>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3.《石油化工企业设计防火标准（2018版）》（</w:t>
            </w:r>
            <w:r>
              <w:rPr>
                <w:rFonts w:hint="eastAsia" w:ascii="仿宋_GB2312" w:hAnsi="仿宋_GB2312" w:eastAsia="仿宋_GB2312" w:cs="宋体"/>
                <w:b w:val="0"/>
                <w:bCs/>
                <w:i w:val="0"/>
                <w:color w:val="auto"/>
                <w:spacing w:val="-6"/>
                <w:kern w:val="0"/>
                <w:sz w:val="17"/>
                <w:szCs w:val="17"/>
                <w:u w:val="none"/>
                <w:lang w:val="en-US" w:eastAsia="zh-CN" w:bidi="ar"/>
              </w:rPr>
              <w:t>GB50160）第5.2.18条：“3 控制室、机柜间面向有火灾危险性设备侧的外墙应为无门窗洞口、耐火极限不低于3h的不燃烧材料实体墙。”</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4.《建筑设计防火规范》（GB50016）第3.6.9条：“有爆炸危险的甲、乙类厂房的分控制室宜</w:t>
            </w:r>
            <w:r>
              <w:rPr>
                <w:rFonts w:hint="eastAsia" w:ascii="仿宋_GB2312" w:hAnsi="仿宋_GB2312" w:eastAsia="仿宋_GB2312" w:cs="宋体"/>
                <w:b w:val="0"/>
                <w:bCs/>
                <w:i w:val="0"/>
                <w:color w:val="auto"/>
                <w:spacing w:val="-6"/>
                <w:kern w:val="0"/>
                <w:sz w:val="17"/>
                <w:szCs w:val="17"/>
                <w:u w:val="none"/>
                <w:lang w:val="en-US" w:eastAsia="zh-CN" w:bidi="ar"/>
              </w:rPr>
              <w:t>独立设置，当贴邻外墙设置时，应采用耐火极限不低于3.00h 的防火隔墙与其他部位分隔。</w:t>
            </w:r>
            <w:r>
              <w:rPr>
                <w:rFonts w:hint="eastAsia" w:ascii="仿宋_GB2312" w:hAnsi="仿宋_GB2312" w:eastAsia="仿宋_GB2312" w:cs="宋体"/>
                <w:b w:val="0"/>
                <w:bCs/>
                <w:i w:val="0"/>
                <w:color w:val="auto"/>
                <w:kern w:val="0"/>
                <w:sz w:val="17"/>
                <w:szCs w:val="17"/>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8"/>
                <w:rFonts w:ascii="仿宋_GB2312" w:hAnsi="仿宋_GB2312" w:eastAsia="仿宋_GB2312"/>
                <w:b w:val="0"/>
                <w:bCs/>
                <w:color w:val="auto"/>
                <w:sz w:val="17"/>
                <w:szCs w:val="17"/>
                <w:lang w:val="en-US" w:eastAsia="zh-CN" w:bidi="ar"/>
              </w:rPr>
            </w:pPr>
            <w:r>
              <w:rPr>
                <w:rStyle w:val="28"/>
                <w:rFonts w:ascii="仿宋_GB2312" w:hAnsi="仿宋_GB2312" w:eastAsia="仿宋_GB2312"/>
                <w:b w:val="0"/>
                <w:bCs/>
                <w:color w:val="auto"/>
                <w:sz w:val="17"/>
                <w:szCs w:val="17"/>
                <w:lang w:val="en-US" w:eastAsia="zh-CN" w:bidi="ar"/>
              </w:rPr>
              <w:t>5.《石油化工建筑物抗爆设计标准》（GB/T50779-2022）。</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Style w:val="31"/>
                <w:rFonts w:ascii="仿宋_GB2312" w:hAnsi="仿宋_GB2312" w:eastAsia="仿宋_GB2312"/>
                <w:b w:val="0"/>
                <w:bCs/>
                <w:color w:val="auto"/>
                <w:sz w:val="17"/>
                <w:szCs w:val="17"/>
                <w:lang w:val="en-US" w:eastAsia="zh-CN" w:bidi="ar"/>
              </w:rPr>
              <w:t>6.《石油化工控制室设计规范》（SH/T3006-2012）。</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酯交换生产装置（面向机柜间）</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14</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化工生产装置按国家标准要求设置双重电源供电情况，自动化控制系统设置不间断电源情况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烷基化装置、DCS系统、GDS系统、SIS系统</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1.生产装置是否按国家标准要求设置双重电源供电（或发电机）；</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2.各车间DCS系统、GDS系统、SIS系统等自动化系统是否设置不间断电源（UPS）；</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3.各车间DCS系统、GDS系统、SIS系统等自动化系统设置的不间断电源（UPS）是否完好备用。</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1.现场检查。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2.现场测试不间断电源的完好备用情况。</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1.按标准要求设置双重电源供电。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2.对DCS系统、GDS系统、SIS系统等自动化系统设置符合要求的不间断电源并保持完好备用。</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1.《化工和危险化学品生产经营单位重大生产安全事故隐患判定标准（试行）》（安监总管三〔2017〕121号）：“依据有关法律法规、部门规章和国家标准，以下情形应当判定为重大事故隐患：第十四条 化工生产装置未按国家标准要求设置双重电源供电，自动化控制系统未设置不间断电源。”</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2.《危险化学品生产企业安全生产许可证实施办法》第二十二条：“企业除符合本章规定的安全生产条件，还应当符合有关法律、行政法规和国家标准或者行业标准规定的其他安全生产条件。”第四十三条：“企业取得安全生产许可证后发现其不具备本办法规定的安全生产条件的，依法暂扣其安全生产许可证1个月以上6个月以下；暂扣期满仍不具备本办法规定的安全生产条件的，依法吊销其安全生产许可证。”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3.《供配电系统设计规范》（GB50052-2009）。</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4.《石油化工装置电力设计规范》（SH3038-2000）。</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酯化装置、DCS系统、GDS系统</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酯交换装置、DCS系统、GDS系统</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发电机、GDS系统</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15</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安全阀、爆破片等安全附件正常投用情况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异丁烯储罐区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1.设备安全阀的上、下游手动截止阀是否关闭未全开；</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2.氮封罐设置的爆破片的根部截止阀是否关闭未全开的；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3.离心机设置的爆破片是否正常投用；</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4.爆破片的根部截止阀是否关闭未全开的。</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1.现场检查。</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2.查看设计图纸。</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安全阀及爆破片的上下游手动截止阀的开关设置成全开，加铅封锁闭，并设置“阀门全开、禁止关闭”的警示标志。</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1.《化工和危险化学品生产经营单位重大生产安全事故隐患判定标准（试行）》（安监总管三〔2017〕121号）：“依据有关法律法规、部门规章和国家标准，以下情形应当判定为重大事故隐患：第十五条 安全阀、爆破片等安全附件未正常投用。”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三十六条：“安全设备的设计、制造、安装、使用、检测、维修、改造和报废，应当符合国家标准或者行业标准。”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3.《石油化工企业设计防火标准(2018版)》（GB50160）第5.5条。</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酯化生产装置</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酯交换生产装置</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蒸汽、导热油锅炉</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16</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建立与岗位相匹配的全员安全生产责任制或者制定实施生产安全事故隐患排查治理制度情况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总经理</w:t>
            </w:r>
          </w:p>
        </w:tc>
        <w:tc>
          <w:tcPr>
            <w:tcW w:w="9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总经理（***）</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1.未根据组织机构制定全员安全生产责任制的;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2.安全生产责任制中，缺少总经理、各分管负责人、专职安全管理人员及与生产有关的重点单位（安全部、生产部、技术部、设备部、工程部、生产车间等）的安全职责的;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3.总经理、专职安全管理人员及安全部未履行安全生产法定职责的;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4.未制定生产安全事故隐患排查治理制度的;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5.未按照《生产安全事故隐患排查治理制度》有效实施隐患排查治理的。</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1.查看企业组织结构图、人员花名册和安全生产责任制文件。</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2.查看《生产安全事故隐患排查治理制度》。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3.检查事故隐患排查记录。</w:t>
            </w: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1.根据企业组织架构及岗位设置情况，建立与岗位相匹配的全员安全生产责任制，责任制内容符合相关法律法规要求。</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2.建立生产安全事故隐患排查治理制度。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3.制定年度隐患排查计划，并按照计划组织隐患排查，留存隐患排查整治台账。</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5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1.《化工和危险化学品生产经营单位重大生产安全事故隐患判定标准（试行）》（安监总管三〔2017〕121号）：“依据有关法律法规、部门规章和国家标准，以下情形应当判定为重大事故隐患：第十六条 未建立与岗位相匹配的全员安全生产责任制或者未制定实施生产安全事故隐患排查治理制度。</w:t>
            </w:r>
          </w:p>
          <w:p>
            <w:pPr>
              <w:keepNext w:val="0"/>
              <w:keepLines w:val="0"/>
              <w:pageBreakBefore w:val="0"/>
              <w:widowControl/>
              <w:suppressLineNumbers w:val="0"/>
              <w:kinsoku/>
              <w:wordWrap/>
              <w:overflowPunct/>
              <w:topLinePunct w:val="0"/>
              <w:autoSpaceDE/>
              <w:autoSpaceDN/>
              <w:bidi w:val="0"/>
              <w:adjustRightInd/>
              <w:snapToGrid/>
              <w:spacing w:line="25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安全生产法》第二十条：“生产经营单位的主要负责人对本单位安全生产工作负有下列职责：（一）建立健全并落实本单位全员安全生产责任制，加强安全生产标准化建设。”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pPr>
              <w:keepNext w:val="0"/>
              <w:keepLines w:val="0"/>
              <w:pageBreakBefore w:val="0"/>
              <w:widowControl/>
              <w:suppressLineNumbers w:val="0"/>
              <w:kinsoku/>
              <w:wordWrap/>
              <w:overflowPunct/>
              <w:topLinePunct w:val="0"/>
              <w:autoSpaceDE/>
              <w:autoSpaceDN/>
              <w:bidi w:val="0"/>
              <w:adjustRightInd/>
              <w:snapToGrid/>
              <w:spacing w:line="25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山东省安全生产条例》第十六条第一款:“生产经营单位应当建立健全全员安全生产责任制，明确生产经营单位主要负责人、其他负责人、职能部门负责人、生产车间（区队）负责人、生产班组负责人、一般从业人员等全体人员的安全生产责任范围和考核标准等内容，编制全员安全生产责任清单，并严格落实和考核。考核结果作为从业人员职务调整、收入分配等的重要依据。”第七十五条第一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一）未按照规定建立全员安全生产责任制的；第二十条 生产经营单位应当建立健全生产安全事故隐患排查治理制度。……”</w:t>
            </w:r>
          </w:p>
          <w:p>
            <w:pPr>
              <w:keepNext w:val="0"/>
              <w:keepLines w:val="0"/>
              <w:pageBreakBefore w:val="0"/>
              <w:widowControl/>
              <w:suppressLineNumbers w:val="0"/>
              <w:kinsoku/>
              <w:wordWrap/>
              <w:overflowPunct/>
              <w:topLinePunct w:val="0"/>
              <w:autoSpaceDE/>
              <w:autoSpaceDN/>
              <w:bidi w:val="0"/>
              <w:adjustRightInd/>
              <w:snapToGrid/>
              <w:spacing w:line="25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4.《安全生产事故隐患排查治理暂行规定》（原国家安全监管总局令第16号）第二十六条：“生产经营单位违反本规定，有下列行为之一的，由安全监管监察部门给予警告，并处三万元以下的罚款：（一）未建立安全生产事故隐患排查治理等各项制度的；”                                                               </w:t>
            </w:r>
          </w:p>
          <w:p>
            <w:pPr>
              <w:keepNext w:val="0"/>
              <w:keepLines w:val="0"/>
              <w:pageBreakBefore w:val="0"/>
              <w:widowControl/>
              <w:suppressLineNumbers w:val="0"/>
              <w:kinsoku/>
              <w:wordWrap/>
              <w:overflowPunct/>
              <w:topLinePunct w:val="0"/>
              <w:autoSpaceDE/>
              <w:autoSpaceDN/>
              <w:bidi w:val="0"/>
              <w:adjustRightInd/>
              <w:snapToGrid/>
              <w:spacing w:line="256"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 xml:space="preserve">5.《山东省生产安全事故隐患排查治理办法》第十四条 ：“生产经营单位应当根据本单位生产经营特点，对下列事项进行定期排查：（一）事故隐患排查治理制度的制定和落实情况；（二）安全生产教育和培训情况；（三）特种作业人员持证上岗情况；（四）生产装置和安全设施、设备运行状况以及日常维护、保养、检验、检测情况；（五）有较大危险因素的场所和危险作业的安全管理情况；（六）劳动防护用品的配备和佩戴使用情况；（七）重大危险源管控情况；（八）应急救援预案制定、演练和应急救援物资配备情况；（九）其他应当进行定期排查的事项。”第十五条 ：“有下列情形之一的，生产经营单位应当进行专项排查：（一）有关安全生产标准、规程发布或者修改的；（二）新建、改建、扩建工程项目试生产的；（三）复工复产、化工装置开停车的；（四）周边环境、作业条件、设备设施、工艺技术发生改变的；（五）发生事故或者险情的；（六）其他应当进行专项排查的情形。”第三十五条：“违反本办法，生产经营单位未按照规定进行定期排查或者专项排查的，责令限期改正，处3万元以上10万元以下的罚款；逾期未改正的，处10万元以上20万元以下的罚款，对其直接负责的主管人员和其他直接责任人员处2万元以上5万元以下的罚款；构成犯罪的，依法追究刑事责任。”    </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分管总监</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安全总监（***）、生产总监（***）、技术总监（***）、设备总监（***）</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各职能部门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安全部、生产部、设备部、技术部、工程部、仓储部等</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各生产车间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*车间、*车间、*车间、*车间、*车间</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各作业岗位</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各生产车间岗位，各后勤部室岗位</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17</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制定操作规程和工艺控制指标情况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烷化工艺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烷化、精馏、罐区等岗位</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1.是否制定各岗位操作规程的；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2.是否明确各岗位工艺控制指标，或工艺控制指标是否严重不符合实际工作；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3.操作规程及岗位操作记录等资料中有关数据是否严重不符、偏差较大；</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4.发生重大变更后是否及时修改操作规程、工艺卡片；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5.制定了操作规程和工艺控制指标，但是否发放到基层岗位，基层员工是否清楚操作规程内容及工艺控制指标。</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1.查看操作规程及工艺指标。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2.现场检查岗位是否放置岗位操作规程。</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3.检查重大变更台账，并查看操作规程和工艺卡片的修订记录。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4.现场抽查岗位人员是否掌握岗位操作规程内容及工艺控制指标。</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1.制定并完善操作规程。</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2.制定符合标准规范要求及生产实际的岗位工艺控制指标。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3.发生重大变更后，及时修改操作规程、工艺卡片。</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4.操作规程和工艺控制指标发放到基层岗位，并组织培训，使基层员工掌握操作规程内容及工艺控制指标。</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1.《化工和危险化学品生产经营单位重大生产安全事故隐患判定标准（试行）》（安监总管三〔2017〕121号）：“依据有关法律法规、部门规章和国家标准，以下情形应当判定为重大事故隐患：第十七条 未制定操作规程和工艺控制指标的。”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2.《安全生产法》第二十一条：“生产经营单位的主要负责人对本单位安全生产工作负有下列职责:（二）组织制定并实施本单位安全生产规章制度和操作规程；”第九十四条第一款：“生产经营单位的主要负责人未履行本法规定的安全生产管理职责的，责令限期改正，处二万元以上五万元以下的罚款；逾期未改正的，处五万元以上十万元以下的罚款，责令生产经营单位停产停业整顿。”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8"/>
                <w:rFonts w:ascii="仿宋_GB2312" w:hAnsi="仿宋_GB2312" w:eastAsia="仿宋_GB2312"/>
                <w:b w:val="0"/>
                <w:bCs/>
                <w:color w:val="auto"/>
                <w:sz w:val="17"/>
                <w:szCs w:val="17"/>
                <w:lang w:val="en-US" w:eastAsia="zh-CN" w:bidi="ar"/>
              </w:rPr>
            </w:pPr>
            <w:r>
              <w:rPr>
                <w:rStyle w:val="28"/>
                <w:rFonts w:ascii="仿宋_GB2312" w:hAnsi="仿宋_GB2312" w:eastAsia="仿宋_GB2312"/>
                <w:b w:val="0"/>
                <w:bCs/>
                <w:color w:val="auto"/>
                <w:sz w:val="17"/>
                <w:szCs w:val="17"/>
                <w:lang w:val="en-US" w:eastAsia="zh-CN" w:bidi="ar"/>
              </w:rPr>
              <w:t>3.《生产经营单位安全生产主体责任规定》第八条第三款：“安全操作规程应当明确安全操作流程、安全作业条件、作业防护要求、禁止事项、现场应急处置措施等内容。”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4.《危险化学品岗位安全生产操作规程编写导则》（DB37/T 2401-2022）。</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5.《关于加强化工过程安全管理的指导意见》（安监总管三〔2013〕88 号）。</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6.《化工过程安全管理导则》（AQ/T3034-2022）第4.9条。</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酯化工艺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酯化、结晶、离心、干燥等岗位</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加成工艺、酯交换工艺</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加成、醇解、酯交换、结晶、离心、干燥等岗位</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锅炉岗位</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18</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按照国家标准制定动火、进入受限空间等特殊作业管理制度，或者制度有效执行情况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安全总监</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安全总监</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1.是否制定特殊作业安全管理制度；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2.开展特殊作业是否办理作业许可证；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3.开展动火、进入受限空间作业是否进行作业分析和危险源辨识；</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28"/>
                <w:rFonts w:ascii="仿宋_GB2312" w:hAnsi="仿宋_GB2312" w:eastAsia="仿宋_GB2312"/>
                <w:b w:val="0"/>
                <w:bCs/>
                <w:color w:val="auto"/>
                <w:sz w:val="17"/>
                <w:szCs w:val="17"/>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4.动火、受限空间等特殊作业现场安全管控措施</w:t>
            </w:r>
            <w:r>
              <w:rPr>
                <w:rStyle w:val="28"/>
                <w:rFonts w:ascii="仿宋_GB2312" w:hAnsi="仿宋_GB2312" w:eastAsia="仿宋_GB2312"/>
                <w:b w:val="0"/>
                <w:bCs/>
                <w:color w:val="auto"/>
                <w:sz w:val="17"/>
                <w:szCs w:val="17"/>
                <w:lang w:val="en-US" w:eastAsia="zh-CN" w:bidi="ar"/>
              </w:rPr>
              <w:t>未制定或者与实际严重不符；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5.特殊作业审批程序是否错误（如动火作业先批准，后动火分析等）、弄虚作假。</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1.查看企业特殊作业安全管理制度。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2.查看相关特殊作业票证。 </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3.现场检查特殊作业过程管控情况。</w:t>
            </w:r>
          </w:p>
        </w:tc>
        <w:tc>
          <w:tcPr>
            <w:tcW w:w="434"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1.制定公司特殊作业管理制度，明确开展特殊作业的相关要求和具体内容。</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2.严格票证的办理及审批手续，严格落实现场安全管控措施。</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1.《化工和危险化学品生产经营单位重大生产安全事故隐患判定标准（试行）》（安监总管三〔2017〕121号）：“依据有关法律法规、部门规章和国家标准，以下情形应当判定为重大事故隐患：第十八条 未按照国家标准制定动火、进入受限空间等特殊作业管理制度，或者制度未有效执行。”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2.《山东省危险化学品安全管理办法》 第十三条：“危险化学品生产、储存和使用单位应当建立检维修和动火、有限空间等特殊作业安全管理制度。作业前应当制定检维修作业方案，经风险评估后，由单位主要负责人签字；对实施过程中的风险分析、隔绝置换、安全措施、技术交底等应当作出书面记录。聘请外来人员作业的，应当查验作业单位和人员的相关资质、资格，签订安全管理协议，对作业全程实施安全监督。”第四十二条：“危险化学品生产、储存和使用单位违反本办法，有下列情形之一的，由安全生产监督管理部门责令改正，处以1万元以上3万元以下的罚款；构成犯罪的，依法追究刑事责任：（四）未建立并执行检维修和动火、有限空间等特殊作业安全管理制度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3.《危险化学品企业特殊作业安全规范》（GB30871-2022）。</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安全部</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相关职能部门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生产部、设备部、技术部、工程部、仓储部等</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相关生产车间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*车间、*车间、*车间、*车间、*车间</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19</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新开发的危险化学品生产工艺经小试、中试、工业化试验直接进行工业化生产情况；国内首次使用的化工工艺经过省级人民政府有关部门组织的安全可靠性论证情况；新建装置制定试生产方案投料开车情况；精细化工企业按规范性文件要求开展反应安全风险评估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研发部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研发工程师</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1.新开发的危险化学品生产工艺是否未经小试、中试、工业化试验直接进行在车间进行工业化生产；</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2.未经过山东省级人民政府有关部门组织安全可靠性论证的国内首次使用的化工工艺是否直接在车间进行生产；</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3.车间新建生产装置是否制定试生产方案投料开车；</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4.是否按规范性文件要求开展反应安全风险评估；</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5.化工工艺因反应工艺问题发生过生产安全事故或工艺路线、工艺参数或装置能力发生变更，是否开展反应安全风险评估。</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1.现场检查、查阅设计资料、小试/中试/工业化试验及生产方案、相关记录。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相关控制系统、</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2.检查可靠性论证报告等资料。</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3.检查新建生产装置的试生产方案及相关记录。</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4.检查反应安全风险评估报告。</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5.检查反应相关事故台账、变更台账，核实反应风险评估报告的有效性及适宜性。</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1.立即停止工业化生产，分别进行小试/中试/工业化试验后组织生产。</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2.申报政府主管部门组织安全可靠性论证。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3.立即停止工业化生产，编制试生产方案。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4.组织有资质的单位进行反应安全风险评估。</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 xml:space="preserve">1.《化工和危险化学品生产经营单位重大生产安全事故隐患判定标准（试行）》（安监总管三〔2017〕121号）：“依据有关法律法规、部门规章和国家标准，以下情形应当判定为重大事故隐患：第十九条 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                                                                                </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危险化学品生产企业安全生产许可证实施办法》第九条第一款第二项：“新开发的危险化学品生产工艺必须在小试、中试、工业化试验的基础上逐步放大到工业化生产；国内首次使用的化工工艺，必须经过省级人民政府有关部门组织的安全可靠性论证。”第二十三条：“建设单位在采取有效安全生产措施后，方可将建设项目安全设施与生产、储存、使用的主体装置、设施同时进行试生产（使用）。”</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试生产（使用）前，建设单位应当组织专家对试生产（使用）方案进行审查。</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3.《危险化学品建设项目安全监督管理办法》第十三条：“建设项目有下列情形之一的，安全条件审查不予通过：（四）国内首次使用的化工工艺，未经省级人民政府有关部门组织的安全可靠性论证的；”</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山东省危险化学品安全管理办法》第四十二条第三项：“危险化学品生产、储存和使用单位违反本办法，有下列情形之一的，由安全生产监督管理部门责令改正，处以1万元以上3万元以下的罚款；构成犯罪的，依法追究刑事责任：（三）擅自在生产装置上进行新工艺的中试和工业化试验的；……”</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default" w:ascii="仿宋_GB2312" w:hAnsi="仿宋_GB2312" w:eastAsia="仿宋_GB2312" w:cs="Times New Roman"/>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5.《国家安全监管总局关于加强精细化工反应安全风险评估工作的指导意见》（安监总管三(2017)1号）。</w:t>
            </w:r>
            <w:r>
              <w:rPr>
                <w:rFonts w:hint="default" w:ascii="仿宋_GB2312" w:hAnsi="仿宋_GB2312" w:eastAsia="仿宋_GB2312" w:cs="Times New Roman"/>
                <w:b w:val="0"/>
                <w:bCs/>
                <w:i w:val="0"/>
                <w:color w:val="auto"/>
                <w:kern w:val="0"/>
                <w:sz w:val="17"/>
                <w:szCs w:val="17"/>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6.《精细化工反应安全风险评估规范》（GB/T 42300-2022）。</w:t>
            </w:r>
          </w:p>
          <w:p>
            <w:pPr>
              <w:keepNext w:val="0"/>
              <w:keepLines w:val="0"/>
              <w:pageBreakBefore w:val="0"/>
              <w:widowControl/>
              <w:suppressLineNumbers w:val="0"/>
              <w:kinsoku/>
              <w:wordWrap/>
              <w:overflowPunct/>
              <w:topLinePunct w:val="0"/>
              <w:autoSpaceDE/>
              <w:autoSpaceDN/>
              <w:bidi w:val="0"/>
              <w:adjustRightInd/>
              <w:snapToGrid/>
              <w:spacing w:line="246"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7.《山东省化工装置安全试车工作规范》（DB37/T 1854—2020）第4.1条。</w:t>
            </w:r>
          </w:p>
        </w:tc>
        <w:tc>
          <w:tcPr>
            <w:tcW w:w="896"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技术部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工艺工程师</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生产部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生产管理人员</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20</w:t>
            </w:r>
          </w:p>
        </w:tc>
        <w:tc>
          <w:tcPr>
            <w:tcW w:w="562"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按照国家标准分区分类储存危险化学品情况</w:t>
            </w: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异丁烯、甲醇、甲苯、三氯化磷、丙烯酸甲酯、盐酸</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1.车间内生产原料是否超24h使用量、产品是否超24h产量；</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2.酸碱性物料是否混存同一区域；</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3.氧化性物料与可燃物、易燃易爆物品是否混存；</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4.是否超设计设计品种储存危险化学品；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5.是否超设计安全储存量储存危险化学品。</w:t>
            </w:r>
          </w:p>
        </w:tc>
        <w:tc>
          <w:tcPr>
            <w:tcW w:w="1667"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1.检查化学品反应矩阵、化学品与材料相容性矩阵；</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2.查看安全设施设计专篇、安全评价报告；</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3.现场检查。</w:t>
            </w: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1.及时转移超量储存的原料和产品。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2.禁忌化学品混存时，立即转移任一种化学品至安全区域，保持安全距离。</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3.立即转移设计范围外的危险化学品。</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4.立即转移超设计安全储量的危险化学品。</w:t>
            </w:r>
          </w:p>
        </w:tc>
        <w:tc>
          <w:tcPr>
            <w:tcW w:w="3498"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1.《化工和危险化学品生产经营单位重大生产安全事故隐患判定标准（试行）》（安监总管三〔2017〕121号）：“依据有关法律法规、部门规章和国家标准，以下情形应当判定为重大事故隐患：第二十条 未按国家标准分区分类储存危险化学品，超量、超品种储存危险化学品，相互禁配物质混放混存。”</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2.《危险化学品安全管理条例》第二十四条第二款：“危险化学品的储存方式、方法以及储存数量应当符合国家标准或者国家有关规定。”第八十条第一款第五项：“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五）危险化学品的储存方式、方法或者储存数量不符合国家标准或者国家有关规定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3.《危险化学品仓库贮存通则》（GB15603-2022）。</w:t>
            </w:r>
          </w:p>
        </w:tc>
        <w:tc>
          <w:tcPr>
            <w:tcW w:w="896" w:type="dxa"/>
            <w:vMerge w:val="restart"/>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甲醇、甲苯、三氯化磷、盐酸</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*车间</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甲醇、甲苯、丙烯酸甲酯</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仓储部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化学试剂、乌洛托品</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研发部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化学试剂</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技术部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化学试剂</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0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center"/>
              <w:rPr>
                <w:rFonts w:hint="eastAsia" w:ascii="仿宋_GB2312" w:hAnsi="仿宋_GB2312" w:eastAsia="仿宋_GB2312" w:cs="宋体"/>
                <w:b w:val="0"/>
                <w:bCs/>
                <w:i w:val="0"/>
                <w:color w:val="auto"/>
                <w:sz w:val="17"/>
                <w:szCs w:val="17"/>
                <w:u w:val="none"/>
              </w:rPr>
            </w:pPr>
          </w:p>
        </w:tc>
        <w:tc>
          <w:tcPr>
            <w:tcW w:w="562"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0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质量部</w:t>
            </w:r>
          </w:p>
        </w:tc>
        <w:tc>
          <w:tcPr>
            <w:tcW w:w="98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化学试剂</w:t>
            </w:r>
          </w:p>
        </w:tc>
        <w:tc>
          <w:tcPr>
            <w:tcW w:w="880"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212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1667"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434"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811"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Style w:val="27"/>
                <w:rFonts w:hint="eastAsia" w:ascii="仿宋_GB2312" w:hAnsi="仿宋_GB2312" w:eastAsia="仿宋_GB2312"/>
                <w:b w:val="0"/>
                <w:bCs/>
                <w:color w:val="auto"/>
                <w:sz w:val="17"/>
                <w:szCs w:val="17"/>
                <w:lang w:val="en-US" w:eastAsia="zh-CN" w:bidi="ar"/>
              </w:rPr>
              <w:t>□</w:t>
            </w:r>
            <w:r>
              <w:rPr>
                <w:rFonts w:hint="eastAsia" w:ascii="仿宋_GB2312" w:hAnsi="仿宋_GB2312" w:eastAsia="仿宋_GB2312" w:cs="宋体"/>
                <w:b w:val="0"/>
                <w:bCs/>
                <w:i w:val="0"/>
                <w:color w:val="auto"/>
                <w:kern w:val="0"/>
                <w:sz w:val="17"/>
                <w:szCs w:val="17"/>
                <w:u w:val="none"/>
                <w:lang w:val="en-US" w:eastAsia="zh-CN" w:bidi="ar"/>
              </w:rPr>
              <w:t>不符合</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仿宋_GB2312" w:hAnsi="仿宋_GB2312" w:eastAsia="仿宋_GB2312" w:cs="Wingdings"/>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问题描述：</w:t>
            </w:r>
          </w:p>
        </w:tc>
        <w:tc>
          <w:tcPr>
            <w:tcW w:w="64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w:t>
            </w:r>
          </w:p>
        </w:tc>
        <w:tc>
          <w:tcPr>
            <w:tcW w:w="1080"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3498"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c>
          <w:tcPr>
            <w:tcW w:w="896" w:type="dxa"/>
            <w:vMerge w:val="continue"/>
            <w:tcBorders>
              <w:tl2br w:val="nil"/>
              <w:tr2bl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4020" w:type="dxa"/>
            <w:gridSpan w:val="12"/>
            <w:tcBorders>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kern w:val="0"/>
                <w:sz w:val="17"/>
                <w:szCs w:val="17"/>
                <w:u w:val="none"/>
                <w:lang w:val="en-US" w:eastAsia="zh-CN" w:bidi="ar"/>
              </w:rPr>
            </w:pPr>
            <w:r>
              <w:rPr>
                <w:rFonts w:hint="eastAsia" w:ascii="仿宋_GB2312" w:hAnsi="仿宋_GB2312" w:eastAsia="仿宋_GB2312" w:cs="宋体"/>
                <w:b w:val="0"/>
                <w:bCs/>
                <w:i w:val="0"/>
                <w:color w:val="auto"/>
                <w:kern w:val="0"/>
                <w:sz w:val="17"/>
                <w:szCs w:val="17"/>
                <w:u w:val="none"/>
                <w:lang w:val="en-US" w:eastAsia="zh-CN" w:bidi="ar"/>
              </w:rPr>
              <w:t>备注：1.表中涉及工艺/装置、排查内容、排查方式、处理措施，系编制参考模板企业的相关内容，仅供参考，严禁照搬照抄。</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b w:val="0"/>
                <w:bCs/>
                <w:i w:val="0"/>
                <w:color w:val="auto"/>
                <w:sz w:val="17"/>
                <w:szCs w:val="17"/>
                <w:u w:val="none"/>
              </w:rPr>
            </w:pPr>
            <w:r>
              <w:rPr>
                <w:rFonts w:hint="eastAsia" w:ascii="仿宋_GB2312" w:hAnsi="仿宋_GB2312" w:eastAsia="仿宋_GB2312" w:cs="宋体"/>
                <w:b w:val="0"/>
                <w:bCs/>
                <w:i w:val="0"/>
                <w:color w:val="auto"/>
                <w:kern w:val="0"/>
                <w:sz w:val="17"/>
                <w:szCs w:val="17"/>
                <w:u w:val="none"/>
                <w:lang w:val="en-US" w:eastAsia="zh-CN" w:bidi="ar"/>
              </w:rPr>
              <w:t xml:space="preserve">      2.各企业在建立本单位清单时，应结合自身工艺装置实际，确定排查内容、排查方式、处理措施等，确保清单的针对性和可操作性。</w:t>
            </w:r>
          </w:p>
        </w:tc>
        <w:tc>
          <w:tcPr>
            <w:tcW w:w="896" w:type="dxa"/>
            <w:tcBorders>
              <w:left w:val="nil"/>
              <w:bottom w:val="nil"/>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60" w:lineRule="exact"/>
              <w:jc w:val="both"/>
              <w:rPr>
                <w:rFonts w:hint="eastAsia" w:ascii="仿宋_GB2312" w:hAnsi="仿宋_GB2312" w:eastAsia="仿宋_GB2312" w:cs="宋体"/>
                <w:b w:val="0"/>
                <w:bCs/>
                <w:i w:val="0"/>
                <w:color w:val="auto"/>
                <w:sz w:val="17"/>
                <w:szCs w:val="17"/>
                <w:u w:val="none"/>
              </w:rPr>
            </w:pPr>
          </w:p>
        </w:tc>
      </w:tr>
    </w:tbl>
    <w:p>
      <w:pPr>
        <w:rPr>
          <w:rFonts w:hint="eastAsia"/>
          <w:lang w:val="en-US" w:eastAsia="zh-CN"/>
        </w:rPr>
      </w:pPr>
    </w:p>
    <w:p>
      <w:pPr>
        <w:rPr>
          <w:rFonts w:hint="eastAsia"/>
          <w:lang w:val="en-US" w:eastAsia="zh-CN"/>
        </w:rPr>
        <w:sectPr>
          <w:footerReference r:id="rId4" w:type="default"/>
          <w:pgSz w:w="16838" w:h="11906" w:orient="landscape"/>
          <w:pgMar w:top="1417" w:right="1020" w:bottom="1417" w:left="1020" w:header="851"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rFonts w:hint="eastAsia"/>
        </w:rPr>
      </w:pPr>
      <w:r>
        <w:rPr>
          <w:rFonts w:hint="eastAsia"/>
        </w:rPr>
        <w:br w:type="page"/>
      </w:r>
    </w:p>
    <w:p>
      <w:pPr>
        <w:pStyle w:val="10"/>
        <w:keepNext w:val="0"/>
        <w:keepLines w:val="0"/>
        <w:pageBreakBefore w:val="0"/>
        <w:widowControl w:val="0"/>
        <w:kinsoku/>
        <w:wordWrap/>
        <w:overflowPunct w:val="0"/>
        <w:topLinePunct w:val="0"/>
        <w:autoSpaceDE/>
        <w:autoSpaceDN/>
        <w:bidi w:val="0"/>
        <w:adjustRightInd/>
        <w:spacing w:line="468" w:lineRule="exact"/>
        <w:ind w:firstLine="0" w:firstLineChars="0"/>
        <w:textAlignment w:val="auto"/>
        <w:rPr>
          <w:rFonts w:hint="eastAsia"/>
        </w:rPr>
      </w:pPr>
    </w:p>
    <w:p>
      <w:pPr>
        <w:pStyle w:val="10"/>
        <w:keepNext w:val="0"/>
        <w:keepLines w:val="0"/>
        <w:pageBreakBefore w:val="0"/>
        <w:widowControl w:val="0"/>
        <w:kinsoku/>
        <w:wordWrap/>
        <w:overflowPunct w:val="0"/>
        <w:topLinePunct w:val="0"/>
        <w:autoSpaceDE/>
        <w:autoSpaceDN/>
        <w:bidi w:val="0"/>
        <w:adjustRightInd/>
        <w:spacing w:line="468" w:lineRule="exact"/>
        <w:ind w:firstLine="0" w:firstLineChars="0"/>
        <w:textAlignment w:val="auto"/>
        <w:rPr>
          <w:rFonts w:hint="eastAsia"/>
        </w:rPr>
      </w:pPr>
    </w:p>
    <w:p>
      <w:pPr>
        <w:pStyle w:val="10"/>
        <w:keepNext w:val="0"/>
        <w:keepLines w:val="0"/>
        <w:pageBreakBefore w:val="0"/>
        <w:widowControl w:val="0"/>
        <w:kinsoku/>
        <w:wordWrap/>
        <w:overflowPunct w:val="0"/>
        <w:topLinePunct w:val="0"/>
        <w:autoSpaceDE/>
        <w:autoSpaceDN/>
        <w:bidi w:val="0"/>
        <w:adjustRightInd/>
        <w:spacing w:line="468" w:lineRule="exact"/>
        <w:ind w:firstLine="0" w:firstLineChars="0"/>
        <w:textAlignment w:val="auto"/>
        <w:rPr>
          <w:rFonts w:hint="eastAsia"/>
        </w:rPr>
      </w:pPr>
    </w:p>
    <w:p>
      <w:pPr>
        <w:keepNext w:val="0"/>
        <w:keepLines w:val="0"/>
        <w:pageBreakBefore w:val="0"/>
        <w:widowControl w:val="0"/>
        <w:kinsoku/>
        <w:wordWrap/>
        <w:overflowPunct w:val="0"/>
        <w:topLinePunct w:val="0"/>
        <w:autoSpaceDE/>
        <w:autoSpaceDN/>
        <w:bidi w:val="0"/>
        <w:adjustRightInd/>
        <w:spacing w:line="468" w:lineRule="exact"/>
        <w:ind w:firstLine="0" w:firstLineChars="0"/>
        <w:textAlignment w:val="auto"/>
        <w:rPr>
          <w:rFonts w:hint="eastAsia" w:ascii="仿宋_GB2312" w:eastAsia="仿宋_GB2312"/>
          <w:spacing w:val="-3"/>
          <w:sz w:val="32"/>
          <w:szCs w:val="32"/>
          <w:lang w:val="en-US" w:eastAsia="zh-CN"/>
        </w:rPr>
      </w:pPr>
    </w:p>
    <w:p>
      <w:pPr>
        <w:pStyle w:val="10"/>
        <w:keepNext w:val="0"/>
        <w:keepLines w:val="0"/>
        <w:pageBreakBefore w:val="0"/>
        <w:widowControl w:val="0"/>
        <w:kinsoku/>
        <w:wordWrap/>
        <w:overflowPunct w:val="0"/>
        <w:topLinePunct w:val="0"/>
        <w:autoSpaceDE/>
        <w:autoSpaceDN/>
        <w:bidi w:val="0"/>
        <w:adjustRightInd/>
        <w:spacing w:line="468" w:lineRule="exact"/>
        <w:ind w:firstLine="0" w:firstLineChars="0"/>
        <w:textAlignment w:val="auto"/>
        <w:rPr>
          <w:rFonts w:hint="eastAsia"/>
        </w:rPr>
      </w:pPr>
    </w:p>
    <w:p>
      <w:pPr>
        <w:pStyle w:val="10"/>
        <w:keepNext w:val="0"/>
        <w:keepLines w:val="0"/>
        <w:pageBreakBefore w:val="0"/>
        <w:widowControl w:val="0"/>
        <w:kinsoku/>
        <w:wordWrap/>
        <w:overflowPunct w:val="0"/>
        <w:topLinePunct w:val="0"/>
        <w:autoSpaceDE/>
        <w:autoSpaceDN/>
        <w:bidi w:val="0"/>
        <w:adjustRightInd/>
        <w:spacing w:line="468" w:lineRule="exact"/>
        <w:ind w:firstLine="0" w:firstLineChars="0"/>
        <w:textAlignment w:val="auto"/>
        <w:rPr>
          <w:rFonts w:hint="eastAsia"/>
        </w:rPr>
      </w:pPr>
    </w:p>
    <w:p>
      <w:pPr>
        <w:keepNext w:val="0"/>
        <w:keepLines w:val="0"/>
        <w:pageBreakBefore w:val="0"/>
        <w:widowControl w:val="0"/>
        <w:kinsoku/>
        <w:wordWrap/>
        <w:overflowPunct w:val="0"/>
        <w:topLinePunct w:val="0"/>
        <w:autoSpaceDE/>
        <w:autoSpaceDN/>
        <w:bidi w:val="0"/>
        <w:adjustRightInd/>
        <w:snapToGrid/>
        <w:spacing w:after="157" w:afterLines="50" w:line="578" w:lineRule="exact"/>
        <w:ind w:firstLine="206" w:firstLineChars="69"/>
        <w:textAlignment w:val="auto"/>
        <w:rPr>
          <w:rFonts w:hint="eastAsia" w:ascii="方正小标宋简体" w:hAnsi="方正小标宋简体" w:eastAsia="方正小标宋简体" w:cs="方正小标宋简体"/>
          <w:color w:val="000000" w:themeColor="text1"/>
          <w:w w:val="68"/>
          <w:sz w:val="44"/>
          <w:szCs w:val="44"/>
          <w14:textFill>
            <w14:solidFill>
              <w14:schemeClr w14:val="tx1"/>
            </w14:solidFill>
          </w14:textFill>
        </w:rPr>
      </w:pPr>
    </w:p>
    <w:tbl>
      <w:tblPr>
        <w:tblStyle w:val="14"/>
        <w:tblpPr w:leftFromText="181" w:rightFromText="181" w:tblpXSpec="center" w:tblpYSpec="bottom"/>
        <w:tblOverlap w:val="never"/>
        <w:tblW w:w="884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844" w:type="dxa"/>
            <w:tcBorders>
              <w:tl2br w:val="nil"/>
              <w:tr2bl w:val="nil"/>
            </w:tcBorders>
            <w:vAlign w:val="center"/>
          </w:tcPr>
          <w:p>
            <w:pPr>
              <w:keepNext w:val="0"/>
              <w:keepLines w:val="0"/>
              <w:pageBreakBefore w:val="0"/>
              <w:widowControl w:val="0"/>
              <w:kinsoku/>
              <w:wordWrap/>
              <w:overflowPunct w:val="0"/>
              <w:topLinePunct w:val="0"/>
              <w:autoSpaceDE/>
              <w:autoSpaceDN/>
              <w:bidi w:val="0"/>
              <w:adjustRightInd/>
              <w:snapToGrid/>
              <w:spacing w:line="240" w:lineRule="auto"/>
              <w:ind w:left="210" w:leftChars="100" w:right="210" w:rightChars="1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vertAlign w:val="baseline"/>
                <w:lang w:val="en-US" w:eastAsia="zh-CN"/>
              </w:rPr>
              <w:t>山东省人民政府安全生产委员会办公室</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eastAsia="仿宋_GB2312"/>
          <w:sz w:val="32"/>
          <w:szCs w:val="32"/>
          <w:lang w:eastAsia="zh-CN"/>
        </w:rPr>
      </w:pPr>
    </w:p>
    <w:sectPr>
      <w:footerReference r:id="rId5" w:type="default"/>
      <w:pgSz w:w="11906" w:h="16838"/>
      <w:pgMar w:top="2098" w:right="1474" w:bottom="1984" w:left="1587" w:header="851" w:footer="1531"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script"/>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870371226"/>
                          </w:sdtPr>
                          <w:sdtEndPr>
                            <w:rPr>
                              <w:rFonts w:hint="eastAsia" w:ascii="宋体" w:hAnsi="宋体" w:eastAsia="宋体" w:cs="宋体"/>
                              <w:sz w:val="28"/>
                              <w:szCs w:val="28"/>
                            </w:rPr>
                          </w:sdtEndPr>
                          <w:sdtContent>
                            <w:p>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870371226"/>
                    </w:sdtPr>
                    <w:sdtEndPr>
                      <w:rPr>
                        <w:rFonts w:hint="eastAsia" w:ascii="宋体" w:hAnsi="宋体" w:eastAsia="宋体" w:cs="宋体"/>
                        <w:sz w:val="28"/>
                        <w:szCs w:val="28"/>
                      </w:rPr>
                    </w:sdtEndPr>
                    <w:sdtContent>
                      <w:p>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1870371226"/>
                          </w:sdtPr>
                          <w:sdtEndPr>
                            <w:rPr>
                              <w:rFonts w:hint="eastAsia" w:ascii="宋体" w:hAnsi="宋体" w:eastAsia="宋体" w:cs="宋体"/>
                              <w:sz w:val="28"/>
                              <w:szCs w:val="28"/>
                            </w:rPr>
                          </w:sdtEndPr>
                          <w:sdtContent>
                            <w:p>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1870371226"/>
                    </w:sdtPr>
                    <w:sdtEndPr>
                      <w:rPr>
                        <w:rFonts w:hint="eastAsia" w:ascii="宋体" w:hAnsi="宋体" w:eastAsia="宋体" w:cs="宋体"/>
                        <w:sz w:val="28"/>
                        <w:szCs w:val="28"/>
                      </w:rPr>
                    </w:sdtEndPr>
                    <w:sdtContent>
                      <w:p>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FEBFD8"/>
    <w:multiLevelType w:val="singleLevel"/>
    <w:tmpl w:val="C6FEBFD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0NmU2ZTk0YzJmMGFhMDQ3YTkyYTZiNDk0NzYyMzcifQ=="/>
  </w:docVars>
  <w:rsids>
    <w:rsidRoot w:val="004238EC"/>
    <w:rsid w:val="000748AE"/>
    <w:rsid w:val="000C164B"/>
    <w:rsid w:val="001302BB"/>
    <w:rsid w:val="002C6BD9"/>
    <w:rsid w:val="002F0062"/>
    <w:rsid w:val="002F1FF5"/>
    <w:rsid w:val="00307207"/>
    <w:rsid w:val="004238EC"/>
    <w:rsid w:val="004D3DBE"/>
    <w:rsid w:val="004E7A13"/>
    <w:rsid w:val="00644999"/>
    <w:rsid w:val="0065057E"/>
    <w:rsid w:val="0067669E"/>
    <w:rsid w:val="007D66DB"/>
    <w:rsid w:val="007F2A6D"/>
    <w:rsid w:val="0087221F"/>
    <w:rsid w:val="00876C58"/>
    <w:rsid w:val="008E1E26"/>
    <w:rsid w:val="00940BB1"/>
    <w:rsid w:val="00A06742"/>
    <w:rsid w:val="00A44AE3"/>
    <w:rsid w:val="00AE3C69"/>
    <w:rsid w:val="00C727C8"/>
    <w:rsid w:val="00C96B34"/>
    <w:rsid w:val="00CD0C42"/>
    <w:rsid w:val="00CE46F2"/>
    <w:rsid w:val="00D9054D"/>
    <w:rsid w:val="00DE7C44"/>
    <w:rsid w:val="00E51288"/>
    <w:rsid w:val="00E85AE0"/>
    <w:rsid w:val="00FD451A"/>
    <w:rsid w:val="00FF58FB"/>
    <w:rsid w:val="03263FE6"/>
    <w:rsid w:val="045736EF"/>
    <w:rsid w:val="07333CEE"/>
    <w:rsid w:val="09AF758B"/>
    <w:rsid w:val="0A421365"/>
    <w:rsid w:val="0F941668"/>
    <w:rsid w:val="154A78EF"/>
    <w:rsid w:val="180A7077"/>
    <w:rsid w:val="18D53F0B"/>
    <w:rsid w:val="1B3D595F"/>
    <w:rsid w:val="1BF7544F"/>
    <w:rsid w:val="1CFF096E"/>
    <w:rsid w:val="1D9941D9"/>
    <w:rsid w:val="1EFF76B0"/>
    <w:rsid w:val="1F3E10A1"/>
    <w:rsid w:val="222A4A2F"/>
    <w:rsid w:val="248B3BB0"/>
    <w:rsid w:val="265E4FB4"/>
    <w:rsid w:val="27156BD9"/>
    <w:rsid w:val="27824711"/>
    <w:rsid w:val="2AE27BC4"/>
    <w:rsid w:val="2C673F32"/>
    <w:rsid w:val="2CC340B8"/>
    <w:rsid w:val="2F4F6379"/>
    <w:rsid w:val="30D4330C"/>
    <w:rsid w:val="31C823F1"/>
    <w:rsid w:val="320E6AFC"/>
    <w:rsid w:val="3309113D"/>
    <w:rsid w:val="333A55A9"/>
    <w:rsid w:val="33ED2F81"/>
    <w:rsid w:val="34856B3B"/>
    <w:rsid w:val="35267652"/>
    <w:rsid w:val="366C19C1"/>
    <w:rsid w:val="36DB7D17"/>
    <w:rsid w:val="37BE4FAB"/>
    <w:rsid w:val="38066CCD"/>
    <w:rsid w:val="3B0D07D0"/>
    <w:rsid w:val="3B6234AC"/>
    <w:rsid w:val="3BFF9650"/>
    <w:rsid w:val="3C490B24"/>
    <w:rsid w:val="3F5425E4"/>
    <w:rsid w:val="410F600B"/>
    <w:rsid w:val="417A642A"/>
    <w:rsid w:val="42AC3254"/>
    <w:rsid w:val="473610CD"/>
    <w:rsid w:val="476F2FB5"/>
    <w:rsid w:val="482200E3"/>
    <w:rsid w:val="48220AF4"/>
    <w:rsid w:val="48F02128"/>
    <w:rsid w:val="4AB34A1F"/>
    <w:rsid w:val="4BFF3EF9"/>
    <w:rsid w:val="4D670B6A"/>
    <w:rsid w:val="4DE82398"/>
    <w:rsid w:val="50A95F21"/>
    <w:rsid w:val="51E131F3"/>
    <w:rsid w:val="57993E84"/>
    <w:rsid w:val="57DB5DB2"/>
    <w:rsid w:val="593B2DB9"/>
    <w:rsid w:val="5C534915"/>
    <w:rsid w:val="5E2818FA"/>
    <w:rsid w:val="5EFF3C8E"/>
    <w:rsid w:val="5F576B80"/>
    <w:rsid w:val="5FD74274"/>
    <w:rsid w:val="607A501A"/>
    <w:rsid w:val="60B656FB"/>
    <w:rsid w:val="61B104E3"/>
    <w:rsid w:val="623A5608"/>
    <w:rsid w:val="630976EC"/>
    <w:rsid w:val="665464A5"/>
    <w:rsid w:val="69EB23BB"/>
    <w:rsid w:val="6A695361"/>
    <w:rsid w:val="6D6117B2"/>
    <w:rsid w:val="70C705AF"/>
    <w:rsid w:val="71AD0813"/>
    <w:rsid w:val="71D3123B"/>
    <w:rsid w:val="73126C5E"/>
    <w:rsid w:val="7521063D"/>
    <w:rsid w:val="762A057E"/>
    <w:rsid w:val="77F580DF"/>
    <w:rsid w:val="77FE4D4B"/>
    <w:rsid w:val="7A295E31"/>
    <w:rsid w:val="7B7907A7"/>
    <w:rsid w:val="7D261B0D"/>
    <w:rsid w:val="7D3625DF"/>
    <w:rsid w:val="7DABE971"/>
    <w:rsid w:val="7EFF2967"/>
    <w:rsid w:val="7FDF0A3C"/>
    <w:rsid w:val="7FED1ED9"/>
    <w:rsid w:val="7FFADEAA"/>
    <w:rsid w:val="83DF5A47"/>
    <w:rsid w:val="ADDE2E73"/>
    <w:rsid w:val="C7D7FF13"/>
    <w:rsid w:val="C7FF0DB4"/>
    <w:rsid w:val="D3E55375"/>
    <w:rsid w:val="DFFBEF24"/>
    <w:rsid w:val="F4FEEF1A"/>
    <w:rsid w:val="F5BB7ECC"/>
    <w:rsid w:val="FFFC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index heading"/>
    <w:next w:val="3"/>
    <w:autoRedefine/>
    <w:qFormat/>
    <w:uiPriority w:val="99"/>
    <w:pPr>
      <w:widowControl w:val="0"/>
      <w:jc w:val="both"/>
    </w:pPr>
    <w:rPr>
      <w:rFonts w:ascii="Arial" w:hAnsi="Arial" w:eastAsia="宋体" w:cs="Arial"/>
      <w:b/>
      <w:bCs/>
      <w:kern w:val="2"/>
      <w:sz w:val="21"/>
      <w:szCs w:val="24"/>
      <w:lang w:val="en-US" w:eastAsia="zh-CN" w:bidi="ar-SA"/>
    </w:rPr>
  </w:style>
  <w:style w:type="paragraph" w:styleId="3">
    <w:name w:val="index 1"/>
    <w:next w:val="1"/>
    <w:autoRedefine/>
    <w:qFormat/>
    <w:uiPriority w:val="0"/>
    <w:pPr>
      <w:widowControl w:val="0"/>
      <w:spacing w:line="580" w:lineRule="exact"/>
      <w:jc w:val="left"/>
    </w:pPr>
    <w:rPr>
      <w:rFonts w:ascii="黑体" w:hAnsi="黑体" w:eastAsia="黑体" w:cs="Times New Roman"/>
      <w:color w:val="000000"/>
      <w:kern w:val="0"/>
      <w:sz w:val="21"/>
      <w:szCs w:val="32"/>
      <w:lang w:val="en-US" w:eastAsia="zh-CN" w:bidi="ar-SA"/>
    </w:rPr>
  </w:style>
  <w:style w:type="paragraph" w:styleId="5">
    <w:name w:val="Normal Indent"/>
    <w:basedOn w:val="1"/>
    <w:next w:val="1"/>
    <w:autoRedefine/>
    <w:qFormat/>
    <w:uiPriority w:val="0"/>
    <w:pPr>
      <w:spacing w:line="360" w:lineRule="auto"/>
      <w:ind w:firstLine="420" w:firstLineChars="200"/>
    </w:pPr>
    <w:rPr>
      <w:rFonts w:eastAsia="仿宋"/>
      <w:sz w:val="28"/>
      <w:szCs w:val="22"/>
    </w:rPr>
  </w:style>
  <w:style w:type="paragraph" w:styleId="6">
    <w:name w:val="Body Text Indent"/>
    <w:basedOn w:val="1"/>
    <w:next w:val="5"/>
    <w:autoRedefine/>
    <w:qFormat/>
    <w:uiPriority w:val="0"/>
    <w:pPr>
      <w:ind w:firstLine="630"/>
    </w:pPr>
    <w:rPr>
      <w:rFonts w:ascii="仿宋_GB2312" w:eastAsia="仿宋_GB2312"/>
      <w:sz w:val="32"/>
    </w:rPr>
  </w:style>
  <w:style w:type="paragraph" w:styleId="7">
    <w:name w:val="Date"/>
    <w:basedOn w:val="1"/>
    <w:next w:val="1"/>
    <w:link w:val="20"/>
    <w:autoRedefine/>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11"/>
    <w:autoRedefine/>
    <w:qFormat/>
    <w:uiPriority w:val="0"/>
    <w:pPr>
      <w:snapToGrid w:val="0"/>
      <w:jc w:val="left"/>
    </w:pPr>
    <w:rPr>
      <w:rFonts w:ascii="Calibri" w:hAnsi="Calibri" w:eastAsia="宋体"/>
      <w:sz w:val="18"/>
      <w:szCs w:val="18"/>
    </w:rPr>
  </w:style>
  <w:style w:type="paragraph" w:styleId="11">
    <w:name w:val="Body Text First Indent 2"/>
    <w:basedOn w:val="6"/>
    <w:next w:val="6"/>
    <w:autoRedefine/>
    <w:qFormat/>
    <w:uiPriority w:val="0"/>
    <w:pPr>
      <w:ind w:firstLine="420" w:firstLineChars="200"/>
    </w:pPr>
    <w:rPr>
      <w:rFonts w:hAnsi="Calibri" w:cs="Times New Roman"/>
    </w:rPr>
  </w:style>
  <w:style w:type="paragraph" w:styleId="12">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22"/>
    <w:rPr>
      <w:b/>
      <w:bCs/>
    </w:rPr>
  </w:style>
  <w:style w:type="character" w:customStyle="1" w:styleId="17">
    <w:name w:val="页眉 字符"/>
    <w:basedOn w:val="15"/>
    <w:link w:val="9"/>
    <w:qFormat/>
    <w:uiPriority w:val="99"/>
    <w:rPr>
      <w:sz w:val="18"/>
      <w:szCs w:val="18"/>
    </w:rPr>
  </w:style>
  <w:style w:type="character" w:customStyle="1" w:styleId="18">
    <w:name w:val="页脚 字符"/>
    <w:basedOn w:val="15"/>
    <w:link w:val="8"/>
    <w:autoRedefine/>
    <w:qFormat/>
    <w:uiPriority w:val="99"/>
    <w:rPr>
      <w:sz w:val="18"/>
      <w:szCs w:val="18"/>
    </w:rPr>
  </w:style>
  <w:style w:type="character" w:customStyle="1" w:styleId="19">
    <w:name w:val="Placeholder Text"/>
    <w:basedOn w:val="15"/>
    <w:semiHidden/>
    <w:qFormat/>
    <w:uiPriority w:val="99"/>
    <w:rPr>
      <w:color w:val="808080"/>
    </w:rPr>
  </w:style>
  <w:style w:type="character" w:customStyle="1" w:styleId="20">
    <w:name w:val="日期 字符"/>
    <w:basedOn w:val="15"/>
    <w:link w:val="7"/>
    <w:autoRedefine/>
    <w:semiHidden/>
    <w:qFormat/>
    <w:uiPriority w:val="99"/>
  </w:style>
  <w:style w:type="character" w:customStyle="1" w:styleId="21">
    <w:name w:val="font11"/>
    <w:basedOn w:val="15"/>
    <w:autoRedefine/>
    <w:qFormat/>
    <w:uiPriority w:val="0"/>
    <w:rPr>
      <w:rFonts w:hint="eastAsia" w:ascii="仿宋_GB2312" w:eastAsia="仿宋_GB2312" w:cs="仿宋_GB2312"/>
      <w:color w:val="000000"/>
      <w:sz w:val="24"/>
      <w:szCs w:val="24"/>
      <w:u w:val="none"/>
    </w:rPr>
  </w:style>
  <w:style w:type="character" w:customStyle="1" w:styleId="22">
    <w:name w:val="font01"/>
    <w:basedOn w:val="15"/>
    <w:autoRedefine/>
    <w:qFormat/>
    <w:uiPriority w:val="0"/>
    <w:rPr>
      <w:rFonts w:ascii="方正书宋_GBK" w:hAnsi="方正书宋_GBK" w:eastAsia="方正书宋_GBK" w:cs="方正书宋_GBK"/>
      <w:color w:val="000000"/>
      <w:sz w:val="24"/>
      <w:szCs w:val="24"/>
      <w:u w:val="none"/>
    </w:rPr>
  </w:style>
  <w:style w:type="character" w:customStyle="1" w:styleId="23">
    <w:name w:val="font51"/>
    <w:basedOn w:val="15"/>
    <w:autoRedefine/>
    <w:qFormat/>
    <w:uiPriority w:val="0"/>
    <w:rPr>
      <w:rFonts w:hint="eastAsia" w:ascii="仿宋" w:hAnsi="仿宋" w:eastAsia="仿宋" w:cs="仿宋"/>
      <w:color w:val="000000"/>
      <w:sz w:val="24"/>
      <w:szCs w:val="24"/>
      <w:u w:val="none"/>
    </w:rPr>
  </w:style>
  <w:style w:type="character" w:customStyle="1" w:styleId="24">
    <w:name w:val="font61"/>
    <w:basedOn w:val="15"/>
    <w:autoRedefine/>
    <w:qFormat/>
    <w:uiPriority w:val="0"/>
    <w:rPr>
      <w:rFonts w:hint="eastAsia" w:ascii="宋体" w:hAnsi="宋体" w:eastAsia="宋体" w:cs="宋体"/>
      <w:color w:val="000000"/>
      <w:sz w:val="24"/>
      <w:szCs w:val="24"/>
      <w:u w:val="none"/>
    </w:rPr>
  </w:style>
  <w:style w:type="character" w:customStyle="1" w:styleId="25">
    <w:name w:val="font21"/>
    <w:basedOn w:val="15"/>
    <w:autoRedefine/>
    <w:qFormat/>
    <w:uiPriority w:val="0"/>
    <w:rPr>
      <w:rFonts w:hint="eastAsia" w:ascii="仿宋" w:hAnsi="仿宋" w:eastAsia="仿宋" w:cs="仿宋"/>
      <w:b/>
      <w:color w:val="000000"/>
      <w:sz w:val="24"/>
      <w:szCs w:val="24"/>
      <w:u w:val="none"/>
    </w:rPr>
  </w:style>
  <w:style w:type="character" w:customStyle="1" w:styleId="26">
    <w:name w:val="font31"/>
    <w:basedOn w:val="15"/>
    <w:autoRedefine/>
    <w:qFormat/>
    <w:uiPriority w:val="0"/>
    <w:rPr>
      <w:rFonts w:hint="eastAsia" w:ascii="黑体" w:hAnsi="宋体" w:eastAsia="黑体" w:cs="黑体"/>
      <w:color w:val="000000"/>
      <w:sz w:val="36"/>
      <w:szCs w:val="36"/>
      <w:u w:val="none"/>
    </w:rPr>
  </w:style>
  <w:style w:type="character" w:customStyle="1" w:styleId="27">
    <w:name w:val="font111"/>
    <w:basedOn w:val="15"/>
    <w:autoRedefine/>
    <w:qFormat/>
    <w:uiPriority w:val="0"/>
    <w:rPr>
      <w:rFonts w:hint="default" w:ascii="Wingdings" w:hAnsi="Wingdings" w:cs="Wingdings"/>
      <w:color w:val="000000"/>
      <w:sz w:val="22"/>
      <w:szCs w:val="22"/>
      <w:u w:val="none"/>
    </w:rPr>
  </w:style>
  <w:style w:type="character" w:customStyle="1" w:styleId="28">
    <w:name w:val="font71"/>
    <w:basedOn w:val="15"/>
    <w:autoRedefine/>
    <w:qFormat/>
    <w:uiPriority w:val="0"/>
    <w:rPr>
      <w:rFonts w:hint="eastAsia" w:ascii="宋体" w:hAnsi="宋体" w:eastAsia="宋体" w:cs="宋体"/>
      <w:color w:val="FF0000"/>
      <w:sz w:val="22"/>
      <w:szCs w:val="22"/>
      <w:u w:val="none"/>
    </w:rPr>
  </w:style>
  <w:style w:type="character" w:customStyle="1" w:styleId="29">
    <w:name w:val="font151"/>
    <w:basedOn w:val="15"/>
    <w:autoRedefine/>
    <w:qFormat/>
    <w:uiPriority w:val="0"/>
    <w:rPr>
      <w:rFonts w:hint="eastAsia" w:ascii="宋体" w:hAnsi="宋体" w:eastAsia="宋体" w:cs="宋体"/>
      <w:color w:val="000000"/>
      <w:sz w:val="21"/>
      <w:szCs w:val="21"/>
      <w:u w:val="none"/>
    </w:rPr>
  </w:style>
  <w:style w:type="character" w:customStyle="1" w:styleId="30">
    <w:name w:val="font12"/>
    <w:basedOn w:val="15"/>
    <w:qFormat/>
    <w:uiPriority w:val="0"/>
    <w:rPr>
      <w:rFonts w:hint="eastAsia" w:ascii="宋体" w:hAnsi="宋体" w:eastAsia="宋体" w:cs="宋体"/>
      <w:color w:val="FF0000"/>
      <w:sz w:val="21"/>
      <w:szCs w:val="21"/>
      <w:u w:val="none"/>
    </w:rPr>
  </w:style>
  <w:style w:type="character" w:customStyle="1" w:styleId="31">
    <w:name w:val="font91"/>
    <w:basedOn w:val="15"/>
    <w:autoRedefine/>
    <w:qFormat/>
    <w:uiPriority w:val="0"/>
    <w:rPr>
      <w:rFonts w:hint="eastAsia" w:ascii="宋体" w:hAnsi="宋体" w:eastAsia="宋体" w:cs="宋体"/>
      <w:b/>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38118</Words>
  <Characters>39589</Characters>
  <Lines>6</Lines>
  <Paragraphs>1</Paragraphs>
  <TotalTime>82</TotalTime>
  <ScaleCrop>false</ScaleCrop>
  <LinksUpToDate>false</LinksUpToDate>
  <CharactersWithSpaces>41631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2021-01-08T09:15:00Z</dcterms:created>
  <dc:creator>王垒</dc:creator>
  <cp:lastModifiedBy>一米阳光</cp:lastModifiedBy>
  <cp:lastPrinted>2021-01-14T15:18:00Z</cp:lastPrinted>
  <dcterms:modified xsi:type="dcterms:W3CDTF">2024-04-18T05:44:08Z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33E38351B36647CA823ED1A596350F29_13</vt:lpwstr>
  </property>
</Properties>
</file>